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F63" w:rsidRPr="00BB0119" w:rsidRDefault="008B3F63" w:rsidP="008B3F63">
      <w:pPr>
        <w:spacing w:line="360" w:lineRule="auto"/>
        <w:jc w:val="both"/>
        <w:rPr>
          <w:i/>
        </w:rPr>
      </w:pPr>
      <w:r w:rsidRPr="00BB0119">
        <w:rPr>
          <w:i/>
        </w:rPr>
        <w:t>Age-specific expression pattern validation by qPCR</w:t>
      </w:r>
    </w:p>
    <w:p w:rsidR="008B3F63" w:rsidRDefault="008B3F63" w:rsidP="008B3F63">
      <w:pPr>
        <w:spacing w:line="360" w:lineRule="auto"/>
        <w:jc w:val="both"/>
      </w:pPr>
      <w:r>
        <w:t xml:space="preserve">We performed expression validation by qPCR of the seven abovementioned DEGs for the brain samples first, but unfortunately most of them showed only very low expression (see </w:t>
      </w:r>
      <w:proofErr w:type="spellStart"/>
      <w:r w:rsidRPr="00382710">
        <w:rPr>
          <w:b/>
        </w:rPr>
        <w:t>SFigure</w:t>
      </w:r>
      <w:proofErr w:type="spellEnd"/>
      <w:r w:rsidRPr="00382710">
        <w:rPr>
          <w:b/>
        </w:rPr>
        <w:t> 5</w:t>
      </w:r>
      <w:r>
        <w:t xml:space="preserve">). However, the expression profile of </w:t>
      </w:r>
      <w:r>
        <w:rPr>
          <w:i/>
        </w:rPr>
        <w:t>L</w:t>
      </w:r>
      <w:r w:rsidRPr="00382710">
        <w:rPr>
          <w:i/>
        </w:rPr>
        <w:t>cn2</w:t>
      </w:r>
      <w:r>
        <w:t xml:space="preserve"> seemed to be promising, showing a relatively strong expression with lesser deviation among samples. Thus, we proceeded with the </w:t>
      </w:r>
      <w:r>
        <w:rPr>
          <w:i/>
        </w:rPr>
        <w:t>L</w:t>
      </w:r>
      <w:r w:rsidRPr="00382710">
        <w:rPr>
          <w:i/>
        </w:rPr>
        <w:t>cn2</w:t>
      </w:r>
      <w:r>
        <w:t xml:space="preserve"> expression validation among the other tissues. Though we observed the same pattern of expression as in the RNA-Seq profiles, the expression strength was reduced (see </w:t>
      </w:r>
      <w:r w:rsidRPr="00382710">
        <w:rPr>
          <w:b/>
        </w:rPr>
        <w:t>Figure 7</w:t>
      </w:r>
      <w:r>
        <w:t>).</w:t>
      </w:r>
    </w:p>
    <w:p w:rsidR="008B3F63" w:rsidRDefault="008B3F63" w:rsidP="008B3F63">
      <w:pPr>
        <w:spacing w:line="360" w:lineRule="auto"/>
        <w:jc w:val="both"/>
        <w:rPr>
          <w:color w:val="8496B0" w:themeColor="text2" w:themeTint="99"/>
        </w:rPr>
      </w:pPr>
    </w:p>
    <w:p w:rsidR="008B3F63" w:rsidRPr="001A26AC" w:rsidRDefault="008B3F63" w:rsidP="008B3F63">
      <w:pPr>
        <w:spacing w:line="360" w:lineRule="auto"/>
        <w:jc w:val="both"/>
        <w:rPr>
          <w:b/>
        </w:rPr>
      </w:pPr>
      <w:r w:rsidRPr="001A26AC">
        <w:rPr>
          <w:b/>
        </w:rPr>
        <w:t>Validation of expression for common DEGs using qPCR</w:t>
      </w:r>
    </w:p>
    <w:p w:rsidR="008B3F63" w:rsidRDefault="008B3F63" w:rsidP="008B3F63">
      <w:pPr>
        <w:spacing w:line="360" w:lineRule="auto"/>
        <w:jc w:val="both"/>
      </w:pPr>
      <w:r w:rsidRPr="00B90595">
        <w:t>We validated the expression level of DEGs determined by RNA-Seq by performing</w:t>
      </w:r>
      <w:r>
        <w:t xml:space="preserve"> </w:t>
      </w:r>
      <w:r w:rsidRPr="00B90595">
        <w:t xml:space="preserve">qPCR for transcripts using the same methodology described earlier by </w:t>
      </w:r>
      <w:proofErr w:type="spellStart"/>
      <w:r w:rsidRPr="00B90595">
        <w:t>Sieber</w:t>
      </w:r>
      <w:proofErr w:type="spellEnd"/>
      <w:r w:rsidRPr="00B90595">
        <w:t xml:space="preserve"> </w:t>
      </w:r>
      <w:r w:rsidRPr="002345C3">
        <w:t>et al.</w:t>
      </w:r>
      <w:r>
        <w:t> </w:t>
      </w:r>
      <w:r>
        <w:fldChar w:fldCharType="begin" w:fldLock="1"/>
      </w:r>
      <w:r>
        <w:instrText>ADDIN CSL_CITATION {"citationItems":[{"id":"ITEM-1","itemData":{"author":[{"dropping-particle":"","family":"Sieber","given":"Matthias W","non-dropping-particle":"","parse-names":false,"suffix":""},{"dropping-particle":"","family":"Guenther","given":"Madlen","non-dropping-particle":"","parse-names":false,"suffix":""},{"dropping-particle":"","family":"Jaenisch","given":"Nadine","non-dropping-particle":"","parse-names":false,"suffix":""},{"dropping-particle":"","family":"Albrecht-Eckardt","given":"Daniela","non-dropping-particle":"","parse-names":false,"suffix":""},{"dropping-particle":"","family":"Kohl","given":"Matthias","non-dropping-particle":"","parse-names":false,"suffix":""},{"dropping-particle":"","family":"Witte","given":"Otto W","non-dropping-particle":"","parse-names":false,"suffix":""},{"dropping-particle":"","family":"Frahm","given":"Christiane","non-dropping-particle":"","parse-names":false,"suffix":""}],"container-title":"Neurobiology of aging","id":"ITEM-1","issue":"7","issued":{"date-parts":[["2014"]]},"page":"1744-1754","publisher":"Elsevier","title":"Age-specific transcriptional response to stroke","type":"article-journal","volume":"35"},"uris":["http://www.mendeley.com/documents/?uuid=8c900d13-ae65-4ae3-9be2-d22835a0b04b"]}],"mendeley":{"formattedCitation":"[1]","plainTextFormattedCitation":"[1]","previouslyFormattedCitation":"[77]"},"properties":{"noteIndex":0},"schema":"https://github.com/citation-style-language/schema/raw/master/csl-citation.json"}</w:instrText>
      </w:r>
      <w:r>
        <w:fldChar w:fldCharType="separate"/>
      </w:r>
      <w:r w:rsidRPr="008B3F63">
        <w:rPr>
          <w:noProof/>
        </w:rPr>
        <w:t>[1]</w:t>
      </w:r>
      <w:r>
        <w:fldChar w:fldCharType="end"/>
      </w:r>
      <w:r w:rsidRPr="00B90595">
        <w:t xml:space="preserve">. We used the same amount of RNA in qPCR as was used for RNA-Seq to reverse-transcribe the cDNA using a </w:t>
      </w:r>
      <w:proofErr w:type="spellStart"/>
      <w:r w:rsidRPr="00B90595">
        <w:t>RevertAid</w:t>
      </w:r>
      <w:proofErr w:type="spellEnd"/>
      <w:r w:rsidRPr="00B90595">
        <w:t xml:space="preserve"> First Strand cDNA Synthesis Kit from </w:t>
      </w:r>
      <w:proofErr w:type="spellStart"/>
      <w:r w:rsidRPr="00B90595">
        <w:t>Fermentas</w:t>
      </w:r>
      <w:proofErr w:type="spellEnd"/>
      <w:r w:rsidRPr="00B90595">
        <w:t xml:space="preserve"> (Thermo Fisher Scientific, Waltham, MA, USA). Primers were designed and were diluted to 500</w:t>
      </w:r>
      <w:r>
        <w:t> </w:t>
      </w:r>
      <w:proofErr w:type="spellStart"/>
      <w:r w:rsidRPr="00B90595">
        <w:t>nM</w:t>
      </w:r>
      <w:proofErr w:type="spellEnd"/>
      <w:r w:rsidRPr="00B90595">
        <w:t xml:space="preserve"> for mice. Brilliant III SYBR Green QPCR </w:t>
      </w:r>
      <w:proofErr w:type="spellStart"/>
      <w:r w:rsidRPr="00B90595">
        <w:t>Mastermix</w:t>
      </w:r>
      <w:proofErr w:type="spellEnd"/>
      <w:r w:rsidRPr="00B90595">
        <w:t xml:space="preserve"> from Agilent Technologies was used to perform the reaction using Qiagen's Rotor-Gene 6000 cycler with the following cycle conditions: 3 minutes of polymerase activation followed by 40 amplification cycles of 95</w:t>
      </w:r>
      <w:r>
        <w:t> °</w:t>
      </w:r>
      <w:r w:rsidRPr="00B90595">
        <w:t>C for 10</w:t>
      </w:r>
      <w:r>
        <w:t> </w:t>
      </w:r>
      <w:r w:rsidRPr="00B90595">
        <w:t>seconds and 60</w:t>
      </w:r>
      <w:r>
        <w:t> °</w:t>
      </w:r>
      <w:r w:rsidRPr="00B90595">
        <w:t>C for 15</w:t>
      </w:r>
      <w:r>
        <w:t> </w:t>
      </w:r>
      <w:r w:rsidRPr="00B90595">
        <w:t xml:space="preserve">seconds. For housekeeping genes, in order to increase the accuracy of our results, we used </w:t>
      </w:r>
      <w:r w:rsidRPr="00B90595">
        <w:rPr>
          <w:i/>
        </w:rPr>
        <w:t>Hprt1</w:t>
      </w:r>
      <w:r w:rsidRPr="00B90595">
        <w:t xml:space="preserve"> for every tissue along with </w:t>
      </w:r>
      <w:proofErr w:type="spellStart"/>
      <w:r>
        <w:rPr>
          <w:i/>
        </w:rPr>
        <w:t>G</w:t>
      </w:r>
      <w:r w:rsidRPr="00B90595">
        <w:rPr>
          <w:i/>
        </w:rPr>
        <w:t>apdh</w:t>
      </w:r>
      <w:proofErr w:type="spellEnd"/>
      <w:r w:rsidRPr="00B90595">
        <w:t xml:space="preserve">, </w:t>
      </w:r>
      <w:proofErr w:type="spellStart"/>
      <w:r>
        <w:rPr>
          <w:i/>
        </w:rPr>
        <w:t>H</w:t>
      </w:r>
      <w:r w:rsidRPr="00A123A1">
        <w:rPr>
          <w:i/>
        </w:rPr>
        <w:t>mbs</w:t>
      </w:r>
      <w:proofErr w:type="spellEnd"/>
      <w:r w:rsidRPr="00B90595">
        <w:t xml:space="preserve">, </w:t>
      </w:r>
      <w:proofErr w:type="spellStart"/>
      <w:r>
        <w:rPr>
          <w:i/>
        </w:rPr>
        <w:t>G</w:t>
      </w:r>
      <w:r w:rsidRPr="00A123A1">
        <w:rPr>
          <w:i/>
        </w:rPr>
        <w:t>usb</w:t>
      </w:r>
      <w:proofErr w:type="spellEnd"/>
      <w:r w:rsidRPr="00B90595">
        <w:t xml:space="preserve"> and </w:t>
      </w:r>
      <w:proofErr w:type="spellStart"/>
      <w:r>
        <w:rPr>
          <w:i/>
        </w:rPr>
        <w:t>A</w:t>
      </w:r>
      <w:r w:rsidRPr="00A123A1">
        <w:rPr>
          <w:i/>
        </w:rPr>
        <w:t>ctb</w:t>
      </w:r>
      <w:proofErr w:type="spellEnd"/>
      <w:r w:rsidRPr="00B90595">
        <w:t xml:space="preserve"> for brain, blood, skin and liver tissue, respectively. Further, the Ct values were used to calculate the transcript ratios with respect to 9</w:t>
      </w:r>
      <w:r>
        <w:t> </w:t>
      </w:r>
      <w:r w:rsidRPr="00B90595">
        <w:t xml:space="preserve">months age using the </w:t>
      </w:r>
      <w:proofErr w:type="spellStart"/>
      <w:r w:rsidRPr="00B90595">
        <w:t>Pfaffl</w:t>
      </w:r>
      <w:proofErr w:type="spellEnd"/>
      <w:r w:rsidRPr="00B90595">
        <w:t xml:space="preserve"> equation</w:t>
      </w:r>
      <w:r>
        <w:t> </w:t>
      </w:r>
      <w:r>
        <w:fldChar w:fldCharType="begin" w:fldLock="1"/>
      </w:r>
      <w:r>
        <w:instrText>ADDIN CSL_CITATION {"citationItems":[{"id":"ITEM-1","itemData":{"author":[{"dropping-particle":"","family":"Pfaffl","given":"Michael W","non-dropping-particle":"","parse-names":false,"suffix":""}],"id":"ITEM-1","issued":{"date-parts":[["2004"]]},"page":"89-113","title":"AZ of quantitative PCR (Editor: SA Bustin) International University Line (IUL), La Jolla, CA, USA","type":"article-journal","volume":"1"},"uris":["http://www.mendeley.com/documents/?uuid=f5260e0f-99b2-478d-9747-43841496f62a"]}],"mendeley":{"formattedCitation":"[2]","plainTextFormattedCitation":"[2]","previouslyFormattedCitation":"[78]"},"properties":{"noteIndex":0},"schema":"https://github.com/citation-style-language/schema/raw/master/csl-citation.json"}</w:instrText>
      </w:r>
      <w:r>
        <w:fldChar w:fldCharType="separate"/>
      </w:r>
      <w:r w:rsidRPr="008B3F63">
        <w:rPr>
          <w:noProof/>
        </w:rPr>
        <w:t>[2]</w:t>
      </w:r>
      <w:r>
        <w:fldChar w:fldCharType="end"/>
      </w:r>
      <w:r w:rsidRPr="00B90595">
        <w:t xml:space="preserve">. A list of the used primers for qPCR can be found in </w:t>
      </w:r>
      <w:proofErr w:type="spellStart"/>
      <w:r w:rsidRPr="00B90595">
        <w:t>SData</w:t>
      </w:r>
      <w:proofErr w:type="spellEnd"/>
      <w:r>
        <w:t> </w:t>
      </w:r>
      <w:r w:rsidRPr="00B90595">
        <w:t>1.</w:t>
      </w:r>
      <w:r w:rsidRPr="00B90595">
        <w:tab/>
      </w:r>
    </w:p>
    <w:p w:rsidR="00F520C1" w:rsidRDefault="00F520C1" w:rsidP="008B3F63"/>
    <w:p w:rsidR="008B3F63" w:rsidRPr="008B3F63" w:rsidRDefault="008B3F63" w:rsidP="008B3F63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8B3F63">
        <w:rPr>
          <w:noProof/>
        </w:rPr>
        <w:t>[1]</w:t>
      </w:r>
      <w:r w:rsidRPr="008B3F63">
        <w:rPr>
          <w:noProof/>
        </w:rPr>
        <w:tab/>
        <w:t xml:space="preserve">Sieber MW, Guenther M, Jaenisch N, Albrecht-Eckardt D, Kohl M, Witte OW, et al. Age-specific transcriptional response to stroke. Neurobiol Aging. 2014;35(7):1744–54. </w:t>
      </w:r>
    </w:p>
    <w:p w:rsidR="008B3F63" w:rsidRPr="008B3F63" w:rsidRDefault="008B3F63" w:rsidP="008B3F63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8B3F63">
        <w:rPr>
          <w:noProof/>
        </w:rPr>
        <w:t>[2]</w:t>
      </w:r>
      <w:r w:rsidRPr="008B3F63">
        <w:rPr>
          <w:noProof/>
        </w:rPr>
        <w:tab/>
        <w:t xml:space="preserve">Pfaffl MW. AZ of quantitative PCR (Editor: SA Bustin) International University Line (IUL), La Jolla, CA, USA. 2004;1:89–113. </w:t>
      </w:r>
    </w:p>
    <w:p w:rsidR="008B3F63" w:rsidRPr="008B3F63" w:rsidRDefault="008B3F63" w:rsidP="008B3F63">
      <w:r>
        <w:fldChar w:fldCharType="end"/>
      </w:r>
      <w:bookmarkStart w:id="0" w:name="_GoBack"/>
      <w:bookmarkEnd w:id="0"/>
    </w:p>
    <w:sectPr w:rsidR="008B3F63" w:rsidRPr="008B3F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C1"/>
    <w:rsid w:val="008B3F63"/>
    <w:rsid w:val="00F5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253D"/>
  <w15:chartTrackingRefBased/>
  <w15:docId w15:val="{DD37A414-8253-47DF-B5A0-832B42B8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20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DB4A-C960-458D-B7A2-267CFEE0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Barth</dc:creator>
  <cp:keywords/>
  <dc:description/>
  <cp:lastModifiedBy>Emanuel Barth</cp:lastModifiedBy>
  <cp:revision>2</cp:revision>
  <dcterms:created xsi:type="dcterms:W3CDTF">2019-01-30T10:15:00Z</dcterms:created>
  <dcterms:modified xsi:type="dcterms:W3CDTF">2019-01-30T10:15:00Z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http://csl.mendeley.com/styles/18475381/vancouver</vt:lpwstr>
  </property>
  <property fmtid="{D5CDD505-2E9C-101B-9397-08002B2CF9AE}" pid="21" name="Mendeley Recent Style Name 9_1">
    <vt:lpwstr>Vancouver - Emanuel Barth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e054a133-1669-3202-a212-43a0472126c7</vt:lpwstr>
  </property>
  <property fmtid="{D5CDD505-2E9C-101B-9397-08002B2CF9AE}" pid="24" name="Mendeley Citation Style_1">
    <vt:lpwstr>http://csl.mendeley.com/styles/18475381/vancouver</vt:lpwstr>
  </property>
</Properties>
</file>