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C1" w:rsidRDefault="00F520C1" w:rsidP="00F520C1">
      <w:pPr>
        <w:spacing w:line="360" w:lineRule="auto"/>
        <w:jc w:val="both"/>
      </w:pPr>
      <w:r>
        <w:t>Three of these seven proteins are involved in different parts of the immune system: LCN2 functions in innate immunity </w:t>
      </w:r>
      <w:r>
        <w:fldChar w:fldCharType="begin" w:fldLock="1"/>
      </w:r>
      <w:r>
        <w:instrText>ADDIN CSL_CITATION {"citationItems":[{"id":"ITEM-1","itemData":{"author":[{"dropping-particle":"","family":"Nielsen","given":"B S","non-dropping-particle":"","parse-names":false,"suffix":""},{"dropping-particle":"","family":"Borregaard","given":"N","non-dropping-particle":"","parse-names":false,"suffix":""},{"dropping-particle":"","family":"Bundgaard","given":"J R","non-dropping-particle":"","parse-names":false,"suffix":""},{"dropping-particle":"","family":"Timshel","given":"S","non-dropping-particle":"","parse-names":false,"suffix":""},{"dropping-particle":"","family":"Sehested","given":"M","non-dropping-particle":"","parse-names":false,"suffix":""},{"dropping-particle":"","family":"Kjeldsen","given":"L","non-dropping-particle":"","parse-names":false,"suffix":""}],"container-title":"Gut","id":"ITEM-1","issue":"3","issued":{"date-parts":[["1996"]]},"page":"414-420","publisher":"BMJ Publishing Group Ltd and British Society of Gastroenterology","title":"Induction of NGAL synthesis in epithelial cells of human colorectal neoplasia and inflammatory bowel diseases.","type":"article-journal","volume":"38"},"uris":["http://www.mendeley.com/documents/?uuid=0bf38241-4a9d-400b-ae9d-9b22e5ca390b"]}],"mendeley":{"formattedCitation":"[1]","plainTextFormattedCitation":"[1]","previouslyFormattedCitation":"[1]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[1]</w:t>
      </w:r>
      <w:r>
        <w:fldChar w:fldCharType="end"/>
      </w:r>
      <w:r>
        <w:t>, whereas IGKV4-62 (immunoglobulin kappa variable 4-62) is part of the adaptive system encoding a kappa light chain for antibodies </w:t>
      </w:r>
      <w:r>
        <w:fldChar w:fldCharType="begin" w:fldLock="1"/>
      </w:r>
      <w:r>
        <w:instrText>ADDIN CSL_CITATION {"citationItems":[{"id":"ITEM-1","itemData":{"author":[{"dropping-particle":"","family":"Criscitiello","given":"Michael F","non-dropping-particle":"","parse-names":false,"suffix":""},{"dropping-particle":"","family":"Flajnik","given":"Martin F","non-dropping-particle":"","parse-names":false,"suffix":""}],"container-title":"European journal of immunology","id":"ITEM-1","issue":"10","issued":{"date-parts":[["2007"]]},"page":"2683-2694","publisher":"Wiley Online Library","title":"Four primordial immunoglobulin light chain isotypes, including λ and κ, identified in the most primitive living jawed vertebrates","type":"article-journal","volume":"37"},"uris":["http://www.mendeley.com/documents/?uuid=5f7c33ba-c226-44fa-939e-9a05d6b3ce73"]}],"mendeley":{"formattedCitation":"[2]","plainTextFormattedCitation":"[2]","previouslyFormattedCitation":"[2]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[2]</w:t>
      </w:r>
      <w:r>
        <w:fldChar w:fldCharType="end"/>
      </w:r>
      <w:r>
        <w:t>. The protein S100A9 (also known as MRP14) controls the accumulation of neutrophils and macrophages by binding another of the S100 gene family members (S100A8) and shows a generally proinflammatory role </w:t>
      </w:r>
      <w:r>
        <w:fldChar w:fldCharType="begin" w:fldLock="1"/>
      </w:r>
      <w:r>
        <w:instrText>ADDIN CSL_CITATION {"citationItems":[{"id":"ITEM-1","itemData":{"author":[{"dropping-particle":"","family":"Vogl","given":"Thomas","non-dropping-particle":"","parse-names":false,"suffix":""},{"dropping-particle":"","family":"Tenbrock","given":"Klaus","non-dropping-particle":"","parse-names":false,"suffix":""},{"dropping-particle":"","family":"Ludwig","given":"Stephan","non-dropping-particle":"","parse-names":false,"suffix":""},{"dropping-particle":"","family":"Leukert","given":"Nadja","non-dropping-particle":"","parse-names":false,"suffix":""},{"dropping-particle":"","family":"Ehrhardt","given":"Christina","non-dropping-particle":"","parse-names":false,"suffix":""},{"dropping-particle":"","family":"Zoelen","given":"Marieke A D","non-dropping-particle":"Van","parse-names":false,"suffix":""},{"dropping-particle":"","family":"Nacken","given":"Wolfgang","non-dropping-particle":"","parse-names":false,"suffix":""},{"dropping-particle":"","family":"Foell","given":"Dirk","non-dropping-particle":"","parse-names":false,"suffix":""},{"dropping-particle":"","family":"Poll","given":"Tom","non-dropping-particle":"der","parse-names":false,"suffix":""},{"dropping-particle":"","family":"Sorg","given":"Clemens","non-dropping-particle":"","parse-names":false,"suffix":""},{"dropping-particle":"","family":"others","given":"","non-dropping-particle":"","parse-names":false,"suffix":""}],"container-title":"Nature medicine","id":"ITEM-1","issue":"9","issued":{"date-parts":[["2007"]]},"page":"1042-1049","publisher":"Nature Publishing Group","title":"Mrp8 and Mrp14 are endogenous activators of Toll-like receptor 4, promoting lethal, endotoxin-induced shock","type":"article-journal","volume":"13"},"uris":["http://www.mendeley.com/documents/?uuid=ccb36093-3b53-463a-bd07-517f06f57b45"]}],"mendeley":{"formattedCitation":"[3]","plainTextFormattedCitation":"[3]","previouslyFormattedCitation":"[3]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[3]</w:t>
      </w:r>
      <w:r>
        <w:fldChar w:fldCharType="end"/>
      </w:r>
      <w:r>
        <w:t>.</w:t>
      </w:r>
    </w:p>
    <w:p w:rsidR="00F520C1" w:rsidRDefault="00F520C1" w:rsidP="00F520C1">
      <w:pPr>
        <w:spacing w:line="360" w:lineRule="auto"/>
        <w:jc w:val="both"/>
      </w:pPr>
      <w:r>
        <w:t xml:space="preserve">   The relation of these immune- and inflammation-specific genes to aging might be inversely causal: the change in their transcription might be caused by aging, not necessarily causing aging. Older mice are more vulnerable to infections and diseases, and with increasing age, a progressive activation of the immune system is to be expected.</w:t>
      </w:r>
    </w:p>
    <w:p w:rsidR="00F520C1" w:rsidRDefault="00F520C1" w:rsidP="00F520C1"/>
    <w:p w:rsidR="00F520C1" w:rsidRDefault="00F520C1" w:rsidP="00F520C1">
      <w:pPr>
        <w:spacing w:line="360" w:lineRule="auto"/>
        <w:jc w:val="both"/>
      </w:pPr>
      <w:r>
        <w:t>The second member of the S100 gene family that we found to be differentially expressed in every investigated tissue is S100A6, a gene with an uncertain function. It is suggested that S100A6 is involved in cell cycle progression </w:t>
      </w:r>
      <w:r>
        <w:fldChar w:fldCharType="begin" w:fldLock="1"/>
      </w:r>
      <w:r>
        <w:instrText>ADDIN CSL_CITATION {"citationItems":[{"id":"ITEM-1","itemData":{"author":[{"dropping-particle":"","family":"Yang","given":"Qiner","non-dropping-particle":"","parse-names":false,"suffix":""},{"dropping-particle":"","family":"O'Hanlon","given":"David","non-dropping-particle":"","parse-names":false,"suffix":""},{"dropping-particle":"","family":"Heizmann","given":"Claus W","non-dropping-particle":"","parse-names":false,"suffix":""},{"dropping-particle":"","family":"Marks","given":"Alexander","non-dropping-particle":"","parse-names":false,"suffix":""}],"container-title":"Experimental cell research","id":"ITEM-1","issue":"2","issued":{"date-parts":[["1999"]]},"page":"501-509","publisher":"Elsevier","title":"Demonstration of heterodimer formation between S100B and S100A6 in the yeast two-hybrid system and human melanoma","type":"article-journal","volume":"246"},"uris":["http://www.mendeley.com/documents/?uuid=dd238a89-8690-44d6-a43d-7e1056f38637"]}],"mendeley":{"formattedCitation":"[4]","plainTextFormattedCitation":"[4]","previouslyFormattedCitation":"[4]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[4]</w:t>
      </w:r>
      <w:r>
        <w:fldChar w:fldCharType="end"/>
      </w:r>
      <w:r>
        <w:t xml:space="preserve"> and is a regulator of the S100B-dependent signaling pathway, responsible for a variety of functions in glia cells </w:t>
      </w:r>
      <w:r>
        <w:fldChar w:fldCharType="begin" w:fldLock="1"/>
      </w:r>
      <w:r>
        <w:instrText>ADDIN CSL_CITATION {"citationItems":[{"id":"ITEM-1","itemData":{"author":[{"dropping-particle":"","family":"Deloulme","given":"Jean Christophe","non-dropping-particle":"","parse-names":false,"suffix":""},{"dropping-particle":"","family":"Assard","given":"Nicole","non-dropping-particle":"","parse-names":false,"suffix":""},{"dropping-particle":"","family":"Mbele","given":"Gaëlh Ouengue","non-dropping-particle":"","parse-names":false,"suffix":""},{"dropping-particle":"","family":"Mangin","given":"Carole","non-dropping-particle":"","parse-names":false,"suffix":""},{"dropping-particle":"","family":"Kuwano","given":"Ryozo","non-dropping-particle":"","parse-names":false,"suffix":""},{"dropping-particle":"","family":"Baudier","given":"Jacques","non-dropping-particle":"","parse-names":false,"suffix":""}],"container-title":"Journal of Biological Chemistry","id":"ITEM-1","issue":"45","issued":{"date-parts":[["2000"]]},"page":"35302-35310","publisher":"ASBMB","title":"S100A6 and S100A11 are specific targets of the calcium-and zinc-binding S100B protein in vivo","type":"article-journal","volume":"275"},"uris":["http://www.mendeley.com/documents/?uuid=f203ac52-142c-4174-9103-27c368b08fd7"]}],"mendeley":{"formattedCitation":"[5]","plainTextFormattedCitation":"[5]","previouslyFormattedCitation":"[5]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[5]</w:t>
      </w:r>
      <w:r>
        <w:fldChar w:fldCharType="end"/>
      </w:r>
      <w:r>
        <w:t>. Interestingly, in a similar study based on human RNA-Seq data we also identified a member of the S100 gene family (S100P) to have an altered expression in all investigated tissues (unpublished).</w:t>
      </w:r>
    </w:p>
    <w:p w:rsidR="00F520C1" w:rsidRDefault="00F520C1" w:rsidP="00F520C1">
      <w:pPr>
        <w:spacing w:line="360" w:lineRule="auto"/>
        <w:jc w:val="both"/>
      </w:pPr>
      <w:r>
        <w:t xml:space="preserve">   VMP1 is known to be a key regulator in the initial steps of the autophagosome formation and is only one of these seven genes that can directly be related to aging </w:t>
      </w:r>
      <w:r>
        <w:fldChar w:fldCharType="begin" w:fldLock="1"/>
      </w:r>
      <w:r>
        <w:instrText>ADDIN CSL_CITATION {"citationItems":[{"id":"ITEM-1","itemData":{"author":[{"dropping-particle":"","family":"Molejon","given":"Maria I","non-dropping-particle":"","parse-names":false,"suffix":""},{"dropping-particle":"","family":"Ropolo","given":"Alejandro","non-dropping-particle":"","parse-names":false,"suffix":""},{"dropping-particle":"Lo","family":"Re","given":"Andrea","non-dropping-particle":"","parse-names":false,"suffix":""},{"dropping-particle":"","family":"Boggio","given":"Veronica","non-dropping-particle":"","parse-names":false,"suffix":""},{"dropping-particle":"","family":"Vaccaro","given":"Maria I","non-dropping-particle":"","parse-names":false,"suffix":""}],"container-title":"Scientific reports","id":"ITEM-1","issued":{"date-parts":[["2013"]]},"publisher":"Nature Publishing Group","title":"The VMP1-Beclin 1 interaction regulates autophagy induction","type":"article-journal","volume":"3"},"uris":["http://www.mendeley.com/documents/?uuid=cd9f84ce-a4f0-4191-9b5e-4cab1e0365c4"]}],"mendeley":{"formattedCitation":"[6]","plainTextFormattedCitation":"[6]","previouslyFormattedCitation":"[6]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[6]</w:t>
      </w:r>
      <w:r>
        <w:fldChar w:fldCharType="end"/>
      </w:r>
      <w:r>
        <w:t>.</w:t>
      </w:r>
    </w:p>
    <w:p w:rsidR="00F520C1" w:rsidRDefault="00F520C1" w:rsidP="00F520C1">
      <w:pPr>
        <w:spacing w:line="360" w:lineRule="auto"/>
        <w:jc w:val="both"/>
      </w:pPr>
      <w:r>
        <w:t xml:space="preserve">   One of its many known and suggested functions (for a comprehensive overview, see review </w:t>
      </w:r>
      <w:r>
        <w:fldChar w:fldCharType="begin" w:fldLock="1"/>
      </w:r>
      <w:r>
        <w:instrText>ADDIN CSL_CITATION {"citationItems":[{"id":"ITEM-1","itemData":{"author":[{"dropping-particle":"","family":"Cuervo","given":"Ana Maria","non-dropping-particle":"","parse-names":false,"suffix":""}],"container-title":"Trends in cell biology","id":"ITEM-1","issue":"2","issued":{"date-parts":[["2004"]]},"page":"70-77","publisher":"Elsevier","title":"Autophagy: in sickness and in health","type":"article-journal","volume":"14"},"uris":["http://www.mendeley.com/documents/?uuid=1fc7a67d-b094-4928-a1ea-1f4b9483f3ea"]}],"mendeley":{"formattedCitation":"[7]","plainTextFormattedCitation":"[7]","previouslyFormattedCitation":"[7]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[7]</w:t>
      </w:r>
      <w:r>
        <w:fldChar w:fldCharType="end"/>
      </w:r>
      <w:r>
        <w:t xml:space="preserve">) is to control the half-life of proteins and cellular organelles. In our data, we observed a small but constant decrease in the expression of </w:t>
      </w:r>
      <w:r>
        <w:rPr>
          <w:i/>
        </w:rPr>
        <w:t>V</w:t>
      </w:r>
      <w:r w:rsidRPr="00D050A6">
        <w:rPr>
          <w:i/>
        </w:rPr>
        <w:t>mp1</w:t>
      </w:r>
      <w:r>
        <w:t xml:space="preserve"> in all investigated tissues over age, except blood, where its expression is slightly increasing. Reduced </w:t>
      </w:r>
      <w:proofErr w:type="spellStart"/>
      <w:r>
        <w:t>autophagosomal</w:t>
      </w:r>
      <w:proofErr w:type="spellEnd"/>
      <w:r>
        <w:t xml:space="preserve"> activity can lead to an accumulation of misfolded or damaged proteins, resulting in apoptosis and neurodegenerative diseases </w:t>
      </w:r>
      <w:r>
        <w:fldChar w:fldCharType="begin" w:fldLock="1"/>
      </w:r>
      <w:r>
        <w:instrText>ADDIN CSL_CITATION {"citationItems":[{"id":"ITEM-1","itemData":{"author":[{"dropping-particle":"","family":"Hara","given":"Taichi","non-dropping-particle":"","parse-names":false,"suffix":""},{"dropping-particle":"","family":"Nakamura","given":"Kenji","non-dropping-particle":"","parse-names":false,"suffix":""},{"dropping-particle":"","family":"Matsui","given":"Makoto","non-dropping-particle":"","parse-names":false,"suffix":""},{"dropping-particle":"","family":"Yamamoto","given":"Akitsugu","non-dropping-particle":"","parse-names":false,"suffix":""},{"dropping-particle":"","family":"Nakahara","given":"Yohko","non-dropping-particle":"","parse-names":false,"suffix":""},{"dropping-particle":"","family":"Suzuki-Migishima","given":"Rika","non-dropping-particle":"","parse-names":false,"suffix":""},{"dropping-particle":"","family":"Yokoyama","given":"Minesuke","non-dropping-particle":"","parse-names":false,"suffix":""},{"dropping-particle":"","family":"Mishima","given":"Kenji","non-dropping-particle":"","parse-names":false,"suffix":""},{"dropping-particle":"","family":"Saito","given":"Ichiro","non-dropping-particle":"","parse-names":false,"suffix":""},{"dropping-particle":"","family":"Okano","given":"Hideyuki","non-dropping-particle":"","parse-names":false,"suffix":""},{"dropping-particle":"","family":"others","given":"","non-dropping-particle":"","parse-names":false,"suffix":""}],"container-title":"Nature","id":"ITEM-1","issue":"7095","issued":{"date-parts":[["2006"]]},"page":"885-889","publisher":"Nature Publishing Group","title":"Suppression of basal autophagy in neural cells causes neurodegenerative disease in mice","type":"article-journal","volume":"441"},"uris":["http://www.mendeley.com/documents/?uuid=427254f7-0474-4c07-94d9-b446dabbe5f5"]}],"mendeley":{"formattedCitation":"[8]","plainTextFormattedCitation":"[8]","previouslyFormattedCitation":"[8]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[8]</w:t>
      </w:r>
      <w:r>
        <w:fldChar w:fldCharType="end"/>
      </w:r>
      <w:r>
        <w:t>. The role of autophagy in aging has already been discussed intensively in recent years </w:t>
      </w:r>
      <w:r>
        <w:fldChar w:fldCharType="begin" w:fldLock="1"/>
      </w:r>
      <w:r>
        <w:instrText>ADDIN CSL_CITATION {"citationItems":[{"id":"ITEM-1","itemData":{"author":[{"dropping-particle":"","family":"Levine","given":"B","non-dropping-particle":"","parse-names":false,"suffix":""},{"dropping-particle":"","family":"Kroemer","given":"G","non-dropping-particle":"","parse-names":false,"suffix":""}],"container-title":"Cell Death &amp; Differentiation","id":"ITEM-1","issue":"1","issued":{"date-parts":[["2009"]]},"page":"1-2","publisher":"Nature Publishing Group","title":"Autophagy in aging, disease and death: the true identity of a cell death impostor","type":"article-journal","volume":"16"},"uris":["http://www.mendeley.com/documents/?uuid=cec65307-78f3-4d7f-b1a6-5ae2a138ca26"]},{"id":"ITEM-2","itemData":{"author":[{"dropping-particle":"","family":"Tan","given":"Chen-Chen","non-dropping-particle":"","parse-names":false,"suffix":""},{"dropping-particle":"","family":"Yu","given":"Jin-Tai","non-dropping-particle":"","parse-names":false,"suffix":""},{"dropping-particle":"","family":"Tan","given":"Meng-Shan","non-dropping-particle":"","parse-names":false,"suffix":""},{"dropping-particle":"","family":"Jiang","given":"Teng","non-dropping-particle":"","parse-names":false,"suffix":""},{"dropping-particle":"","family":"Zhu","given":"Xi-Chen","non-dropping-particle":"","parse-names":false,"suffix":""},{"dropping-particle":"","family":"Tan","given":"Lan","non-dropping-particle":"","parse-names":false,"suffix":""}],"container-title":"Neurobiology of aging","id":"ITEM-2","issue":"5","issued":{"date-parts":[["2014"]]},"page":"941-957","publisher":"Elsevier","title":"Autophagy in aging and neurodegenerative diseases: implications for pathogenesis and therapy","type":"article-journal","volume":"35"},"uris":["http://www.mendeley.com/documents/?uuid=ce2790b2-e0ce-4be8-9510-ed8bb3bc22d3"]}],"mendeley":{"formattedCitation":"[9,10]","plainTextFormattedCitation":"[9,10]","previouslyFormattedCitation":"[9,10]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[9,10]</w:t>
      </w:r>
      <w:r>
        <w:fldChar w:fldCharType="end"/>
      </w:r>
      <w:r>
        <w:t>, but here, we observed concrete evidence that VMP1 might be a potential common genetic driving factor for aging induced by a reduced autophagy potential.</w:t>
      </w:r>
    </w:p>
    <w:p w:rsidR="00F520C1" w:rsidRDefault="00F520C1" w:rsidP="00F520C1">
      <w:pPr>
        <w:spacing w:line="360" w:lineRule="auto"/>
        <w:jc w:val="both"/>
      </w:pPr>
      <w:r>
        <w:t xml:space="preserve">   Lastly, almost nothing is known about the two remaining proteins encoded by the genes </w:t>
      </w:r>
      <w:r>
        <w:rPr>
          <w:i/>
        </w:rPr>
        <w:t>R</w:t>
      </w:r>
      <w:r w:rsidRPr="00D050A6">
        <w:rPr>
          <w:i/>
        </w:rPr>
        <w:t>ap2a</w:t>
      </w:r>
      <w:r>
        <w:t xml:space="preserve"> and </w:t>
      </w:r>
      <w:r>
        <w:rPr>
          <w:i/>
        </w:rPr>
        <w:t>G</w:t>
      </w:r>
      <w:r w:rsidRPr="00D050A6">
        <w:rPr>
          <w:i/>
        </w:rPr>
        <w:t>m8979</w:t>
      </w:r>
      <w:r>
        <w:t>. Both are known to have the capability to bind and hydrolyze GTP. RAP2A is a member of the Ras protein superfamily and therefore might function in the regulation of cell proliferation, whereas GM8979 is only a predicted protein that has yet to be confirmed by molecular and/or genetic analysis </w:t>
      </w:r>
      <w:r>
        <w:fldChar w:fldCharType="begin" w:fldLock="1"/>
      </w:r>
      <w:r>
        <w:instrText>ADDIN CSL_CITATION {"citationItems":[{"id":"ITEM-1","itemData":{"author":[{"dropping-particle":"","family":"Nancy","given":"Vanessa","non-dropping-particle":"","parse-names":false,"suffix":""},{"dropping-particle":"","family":"Wolthuis","given":"Rob M F","non-dropping-particle":"","parse-names":false,"suffix":""},{"dropping-particle":"","family":"Tand","given":"Marie-France","non-dropping-particle":"de","parse-names":false,"suffix":""},{"dropping-particle":"","family":"Janoueix-Lerosey","given":"Isabelle","non-dropping-particle":"","parse-names":false,"suffix":""},{"dropping-particle":"","family":"Bos","given":"Johannes L","non-dropping-particle":"","parse-names":false,"suffix":""},{"dropping-particle":"","family":"Gunzburg","given":"Jean","non-dropping-particle":"de","parse-names":false,"suffix":""}],"container-title":"Journal of Biological Chemistry","id":"ITEM-1","issue":"13","issued":{"date-parts":[["1999"]]},"page":"8737-8745","publisher":"ASBMB","title":"Identification and characterization of potential effector molecules of the Ras-related GTPase Rap2","type":"article-journal","volume":"274"},"uris":["http://www.mendeley.com/documents/?uuid=6d96173c-8a89-4402-a2be-b5ba2a095825"]}],"mendeley":{"formattedCitation":"[11]","plainTextFormattedCitation":"[11]","previouslyFormattedCitation":"[11]"},"properties":{"noteIndex":0},"schema":"https://github.com/citation-style-language/schema/raw/master/csl-citation.json"}</w:instrText>
      </w:r>
      <w:r>
        <w:fldChar w:fldCharType="separate"/>
      </w:r>
      <w:r w:rsidRPr="00EE3DA8">
        <w:rPr>
          <w:noProof/>
        </w:rPr>
        <w:t>[11]</w:t>
      </w:r>
      <w:r>
        <w:fldChar w:fldCharType="end"/>
      </w:r>
      <w:r>
        <w:t>.</w:t>
      </w:r>
    </w:p>
    <w:p w:rsidR="00F520C1" w:rsidRDefault="00F520C1" w:rsidP="00F520C1">
      <w:pPr>
        <w:spacing w:line="360" w:lineRule="auto"/>
        <w:jc w:val="both"/>
      </w:pPr>
    </w:p>
    <w:p w:rsidR="00F520C1" w:rsidRDefault="00F520C1" w:rsidP="00F520C1">
      <w:pPr>
        <w:spacing w:line="360" w:lineRule="auto"/>
        <w:jc w:val="both"/>
      </w:pPr>
      <w:bookmarkStart w:id="0" w:name="_GoBack"/>
      <w:bookmarkEnd w:id="0"/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>
        <w:lastRenderedPageBreak/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F520C1">
        <w:rPr>
          <w:noProof/>
        </w:rPr>
        <w:t>[1]</w:t>
      </w:r>
      <w:r w:rsidRPr="00F520C1">
        <w:rPr>
          <w:noProof/>
        </w:rPr>
        <w:tab/>
        <w:t xml:space="preserve">Nielsen BS, Borregaard N, Bundgaard JR, Timshel S, Sehested M, Kjeldsen L. Induction of NGAL synthesis in epithelial cells of human colorectal neoplasia and inflammatory bowel diseases. Gut. 1996;38(3):414–20.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[2]</w:t>
      </w:r>
      <w:r w:rsidRPr="00F520C1">
        <w:rPr>
          <w:noProof/>
        </w:rPr>
        <w:tab/>
        <w:t xml:space="preserve">Criscitiello MF, Flajnik MF. Four primordial immunoglobulin light chain isotypes, including λ and κ, identified in the most primitive living jawed vertebrates. Eur J Immunol. 2007;37(10):2683–94.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[3]</w:t>
      </w:r>
      <w:r w:rsidRPr="00F520C1">
        <w:rPr>
          <w:noProof/>
        </w:rPr>
        <w:tab/>
        <w:t xml:space="preserve">Vogl T, Tenbrock K, Ludwig S, Leukert N, Ehrhardt C, Van Zoelen MAD, et al. Mrp8 and Mrp14 are endogenous activators of Toll-like receptor 4, promoting lethal, endotoxin-induced shock. Nat Med. 2007;13(9):1042–9.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[4]</w:t>
      </w:r>
      <w:r w:rsidRPr="00F520C1">
        <w:rPr>
          <w:noProof/>
        </w:rPr>
        <w:tab/>
        <w:t xml:space="preserve">Yang Q, O’Hanlon D, Heizmann CW, Marks A. Demonstration of heterodimer formation between S100B and S100A6 in the yeast two-hybrid system and human melanoma. Exp Cell Res. 1999;246(2):501–9.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[5]</w:t>
      </w:r>
      <w:r w:rsidRPr="00F520C1">
        <w:rPr>
          <w:noProof/>
        </w:rPr>
        <w:tab/>
        <w:t xml:space="preserve">Deloulme JC, Assard N, Mbele GO, Mangin C, Kuwano R, Baudier J. S100A6 and S100A11 are specific targets of the calcium-and zinc-binding S100B protein in vivo. J Biol Chem. 2000;275(45):35302–10.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[6]</w:t>
      </w:r>
      <w:r w:rsidRPr="00F520C1">
        <w:rPr>
          <w:noProof/>
        </w:rPr>
        <w:tab/>
        <w:t xml:space="preserve">Molejon MI, Ropolo A, Re A Lo, Boggio V, Vaccaro MI. The VMP1-Beclin 1 interaction regulates autophagy induction. Sci Rep. 2013;3.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[7]</w:t>
      </w:r>
      <w:r w:rsidRPr="00F520C1">
        <w:rPr>
          <w:noProof/>
        </w:rPr>
        <w:tab/>
        <w:t xml:space="preserve">Cuervo AM. Autophagy: in sickness and in health. Trends Cell Biol. 2004;14(2):70–7.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[8]</w:t>
      </w:r>
      <w:r w:rsidRPr="00F520C1">
        <w:rPr>
          <w:noProof/>
        </w:rPr>
        <w:tab/>
        <w:t xml:space="preserve">Hara T, Nakamura K, Matsui M, Yamamoto A, Nakahara Y, Suzuki-Migishima R, et al. Suppression of basal autophagy in neural cells causes neurodegenerative disease in mice. Nature. 2006;441(7095):885–9.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[9]</w:t>
      </w:r>
      <w:r w:rsidRPr="00F520C1">
        <w:rPr>
          <w:noProof/>
        </w:rPr>
        <w:tab/>
        <w:t xml:space="preserve">Levine B, Kroemer G. Autophagy in aging, disease and death: the true identity of a cell death impostor. Cell Death Differ. 2009;16(1):1–2.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[10]</w:t>
      </w:r>
      <w:r w:rsidRPr="00F520C1">
        <w:rPr>
          <w:noProof/>
        </w:rPr>
        <w:tab/>
        <w:t xml:space="preserve">Tan C-C, Yu J-T, Tan M-S, Jiang T, Zhu X-C, Tan L. Autophagy in aging and neurodegenerative diseases: implications for pathogenesis and therapy. Neurobiol Aging. 2014;35(5):941–57. </w:t>
      </w:r>
    </w:p>
    <w:p w:rsidR="00F520C1" w:rsidRPr="00F520C1" w:rsidRDefault="00F520C1" w:rsidP="00F520C1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 w:rsidRPr="00F520C1">
        <w:rPr>
          <w:noProof/>
        </w:rPr>
        <w:t>[11]</w:t>
      </w:r>
      <w:r w:rsidRPr="00F520C1">
        <w:rPr>
          <w:noProof/>
        </w:rPr>
        <w:tab/>
        <w:t xml:space="preserve">Nancy V, Wolthuis RMF, de Tand M-F, Janoueix-Lerosey I, Bos JL, de Gunzburg J. Identification and characterization of potential effector molecules of the Ras-related GTPase Rap2. J Biol Chem. 1999;274(13):8737–45. </w:t>
      </w:r>
    </w:p>
    <w:p w:rsidR="00F520C1" w:rsidRDefault="00F520C1">
      <w:r>
        <w:fldChar w:fldCharType="end"/>
      </w:r>
    </w:p>
    <w:sectPr w:rsidR="00F52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C1"/>
    <w:rsid w:val="00F5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253D"/>
  <w15:chartTrackingRefBased/>
  <w15:docId w15:val="{DD37A414-8253-47DF-B5A0-832B42B8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20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A150-EBF4-4935-BEDF-3A8903C7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Barth</dc:creator>
  <cp:keywords/>
  <dc:description/>
  <cp:lastModifiedBy>Emanuel Barth</cp:lastModifiedBy>
  <cp:revision>1</cp:revision>
  <dcterms:created xsi:type="dcterms:W3CDTF">2019-01-30T10:14:00Z</dcterms:created>
  <dcterms:modified xsi:type="dcterms:W3CDTF">2019-01-30T10:15:00Z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http://csl.mendeley.com/styles/18475381/vancouver</vt:lpwstr>
  </property>
  <property fmtid="{D5CDD505-2E9C-101B-9397-08002B2CF9AE}" pid="21" name="Mendeley Recent Style Name 9_1">
    <vt:lpwstr>Vancouver - Emanuel Barth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e054a133-1669-3202-a212-43a0472126c7</vt:lpwstr>
  </property>
  <property fmtid="{D5CDD505-2E9C-101B-9397-08002B2CF9AE}" pid="24" name="Mendeley Citation Style_1">
    <vt:lpwstr>http://csl.mendeley.com/styles/18475381/vancouver</vt:lpwstr>
  </property>
</Properties>
</file>