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865" w:rsidRPr="00337FA1" w:rsidRDefault="00C64865" w:rsidP="00C64865">
      <w:pPr>
        <w:spacing w:line="360" w:lineRule="auto"/>
        <w:jc w:val="both"/>
        <w:rPr>
          <w:b/>
          <w:sz w:val="28"/>
          <w:szCs w:val="28"/>
        </w:rPr>
      </w:pPr>
      <w:r w:rsidRPr="00337FA1">
        <w:rPr>
          <w:b/>
          <w:sz w:val="28"/>
          <w:szCs w:val="28"/>
        </w:rPr>
        <w:t>Materials and Methods</w:t>
      </w:r>
    </w:p>
    <w:p w:rsidR="00C64865" w:rsidRDefault="00C64865" w:rsidP="00C64865">
      <w:pPr>
        <w:spacing w:line="360" w:lineRule="auto"/>
        <w:jc w:val="both"/>
        <w:rPr>
          <w:b/>
        </w:rPr>
      </w:pPr>
      <w:r w:rsidRPr="002A2277">
        <w:rPr>
          <w:b/>
        </w:rPr>
        <w:t>Tissue and RNA preparation</w:t>
      </w:r>
    </w:p>
    <w:p w:rsidR="00F93598" w:rsidRPr="00EE3DA8" w:rsidRDefault="00C64865" w:rsidP="00F93598">
      <w:pPr>
        <w:spacing w:line="360" w:lineRule="auto"/>
        <w:jc w:val="both"/>
        <w:rPr>
          <w:color w:val="000000" w:themeColor="text1"/>
        </w:rPr>
      </w:pPr>
      <w:r>
        <w:t xml:space="preserve">The male C57BL/6 mice used in the study were sacrificed at 9, 15, 24 and 30 months followed by tissue sampling of the brain, blood, skin and liver in 8 or 5 replicates, as shown in </w:t>
      </w:r>
      <w:r w:rsidRPr="00555A58">
        <w:rPr>
          <w:b/>
        </w:rPr>
        <w:t>Figure 9A</w:t>
      </w:r>
      <w:r>
        <w:t>. Skin and blood were extracted from the same animal, whereas brain and liver tissues were extracted from two other mice. For the purpose of sampling tissues from the brain and liver, mice were sacrificed by cervical dislocation with subsequent collection of the tissues. In the brain, both hemispheres were obtained, and the right hemisphere was used for the RNA-Seq experiments while the left one was preserved for future experiments. In the liver the larger lobe was divided into three sections, and one part was used for RNA-Seq while the rest was cryopreserved. For the collection of skin and blood samples, mice were anaesthetized with 2.5 % isoflurane in a N2O:O2 (3:1) mixture. The abdomen was shaved, and a patch of 1 cm</w:t>
      </w:r>
      <w:r w:rsidRPr="00555A58">
        <w:rPr>
          <w:vertAlign w:val="superscript"/>
        </w:rPr>
        <w:t>2</w:t>
      </w:r>
      <w:r>
        <w:t xml:space="preserve"> skin was collected from the abdomen of the mice. A total volume of 600</w:t>
      </w:r>
      <w:r>
        <w:softHyphen/>
      </w:r>
      <w:r>
        <w:softHyphen/>
      </w:r>
      <w:r>
        <w:softHyphen/>
        <w:t xml:space="preserve"> – 800 µl of blood was collected by heart-puncture and stabilized using the </w:t>
      </w:r>
      <w:proofErr w:type="spellStart"/>
      <w:r>
        <w:t>PAXgene</w:t>
      </w:r>
      <w:proofErr w:type="spellEnd"/>
      <w:r>
        <w:t xml:space="preserve"> kit according to manufacturer's instructions. Each tissue sample was homogenized in 1 ml </w:t>
      </w:r>
      <w:proofErr w:type="spellStart"/>
      <w:r>
        <w:t>QIAzol</w:t>
      </w:r>
      <w:proofErr w:type="spellEnd"/>
      <w:r>
        <w:t xml:space="preserve"> Lysis Reagent (Qiagen, Hilden, Germany), and the total RNA was isolated using the phenol/chloroform extraction method. Blood samples were further processed for globin removal (</w:t>
      </w:r>
      <w:proofErr w:type="spellStart"/>
      <w:r>
        <w:t>Ambion</w:t>
      </w:r>
      <w:proofErr w:type="spellEnd"/>
      <w:r>
        <w:t xml:space="preserve"> globin clear kit, </w:t>
      </w:r>
      <w:proofErr w:type="spellStart"/>
      <w:r>
        <w:t>Thermofisher</w:t>
      </w:r>
      <w:proofErr w:type="spellEnd"/>
      <w:r>
        <w:t xml:space="preserve">). RNA quantity and quality were determined </w:t>
      </w:r>
      <w:proofErr w:type="spellStart"/>
      <w:r>
        <w:t>spectrometrically</w:t>
      </w:r>
      <w:proofErr w:type="spellEnd"/>
      <w:r>
        <w:t xml:space="preserve"> by a ND-1000 (Nanodrop, Wilmington, DE, USA) and subsequently analyzed by an Agilent Bioanalyzer 2100 using the RNA 6000 Nano Kit (Agilent Technologies, Santa Clara, CA, USA). An RNA integrity number greater than 6.5 </w:t>
      </w:r>
      <w:proofErr w:type="gramStart"/>
      <w:r>
        <w:t>was considered to be</w:t>
      </w:r>
      <w:proofErr w:type="gramEnd"/>
      <w:r>
        <w:t xml:space="preserve"> of good quality for high-throughput RNA sequencing. All RNA integrity numbers of the samples ranged from 7.3 to 9.3. All animal procedures were approved by the local government (</w:t>
      </w:r>
      <w:proofErr w:type="spellStart"/>
      <w:r>
        <w:t>Thueringer</w:t>
      </w:r>
      <w:proofErr w:type="spellEnd"/>
      <w:r>
        <w:t xml:space="preserve"> </w:t>
      </w:r>
      <w:proofErr w:type="spellStart"/>
      <w:r>
        <w:t>Landesamt</w:t>
      </w:r>
      <w:proofErr w:type="spellEnd"/>
      <w:r>
        <w:t xml:space="preserve"> </w:t>
      </w:r>
      <w:proofErr w:type="spellStart"/>
      <w:r>
        <w:t>fuer</w:t>
      </w:r>
      <w:proofErr w:type="spellEnd"/>
      <w:r>
        <w:t xml:space="preserve"> </w:t>
      </w:r>
      <w:proofErr w:type="spellStart"/>
      <w:r w:rsidRPr="00555A58">
        <w:rPr>
          <w:lang w:val="en-GB"/>
        </w:rPr>
        <w:t>Lebensmittelsicherheit</w:t>
      </w:r>
      <w:proofErr w:type="spellEnd"/>
      <w:r w:rsidRPr="00555A58">
        <w:rPr>
          <w:lang w:val="en-GB"/>
        </w:rPr>
        <w:t xml:space="preserve"> und </w:t>
      </w:r>
      <w:proofErr w:type="spellStart"/>
      <w:r w:rsidRPr="00555A58">
        <w:rPr>
          <w:lang w:val="en-GB"/>
        </w:rPr>
        <w:t>Verbraucherschutz</w:t>
      </w:r>
      <w:proofErr w:type="spellEnd"/>
      <w:r w:rsidRPr="00555A58">
        <w:rPr>
          <w:lang w:val="en-GB"/>
        </w:rPr>
        <w:t>, Germany) and conformed</w:t>
      </w:r>
      <w:r>
        <w:t xml:space="preserve"> to international guidelines on the ethical use of animals.</w:t>
      </w:r>
      <w:r>
        <w:t xml:space="preserve"> </w:t>
      </w:r>
      <w:bookmarkStart w:id="0" w:name="_Hlk530489234"/>
      <w:r w:rsidR="00F93598" w:rsidRPr="00EE3DA8">
        <w:rPr>
          <w:color w:val="000000" w:themeColor="text1"/>
        </w:rPr>
        <w:t xml:space="preserve">Breeding and housing conditions were as described by </w:t>
      </w:r>
      <w:proofErr w:type="spellStart"/>
      <w:r w:rsidR="00F93598" w:rsidRPr="00EE3DA8">
        <w:rPr>
          <w:color w:val="000000" w:themeColor="text1"/>
        </w:rPr>
        <w:t>Man</w:t>
      </w:r>
      <w:r w:rsidR="00EE3DA8">
        <w:rPr>
          <w:color w:val="000000" w:themeColor="text1"/>
        </w:rPr>
        <w:t>s</w:t>
      </w:r>
      <w:r w:rsidR="00F93598" w:rsidRPr="00EE3DA8">
        <w:rPr>
          <w:color w:val="000000" w:themeColor="text1"/>
        </w:rPr>
        <w:t>feld</w:t>
      </w:r>
      <w:proofErr w:type="spellEnd"/>
      <w:r w:rsidR="00F93598" w:rsidRPr="00EE3DA8">
        <w:rPr>
          <w:color w:val="000000" w:themeColor="text1"/>
        </w:rPr>
        <w:t xml:space="preserve"> </w:t>
      </w:r>
      <w:r w:rsidR="00F93598" w:rsidRPr="00EE3DA8">
        <w:rPr>
          <w:i/>
          <w:color w:val="000000" w:themeColor="text1"/>
        </w:rPr>
        <w:t>et.al.</w:t>
      </w:r>
      <w:r w:rsidR="00EE3DA8">
        <w:rPr>
          <w:i/>
          <w:color w:val="000000" w:themeColor="text1"/>
        </w:rPr>
        <w:fldChar w:fldCharType="begin" w:fldLock="1"/>
      </w:r>
      <w:r w:rsidR="00EE3DA8">
        <w:rPr>
          <w:i/>
          <w:color w:val="000000" w:themeColor="text1"/>
        </w:rPr>
        <w:instrText>ADDIN CSL_CITATION {"citationItems":[{"id":"ITEM-1","itemData":{"author":[{"dropping-particle":"","family":"Mansfeld, Johannes and Urban, Nadine and Priebe, Steffen and Groth, Marco and Frahm, Christiane and Hartmann, Nils and Gebauer, Juliane and Ravichandran, Meenakshi and Dommaschk, Anne and Schmeisser, Sebastian","given":"et al.","non-dropping-particle":"","parse-names":false,"suffix":""}],"container-title":"Nature communications","id":"ITEM-1","issued":{"date-parts":[["2015"]]},"page":"10043","title":"Branched-chain amino acid catabolism is a conserved regulator of physiological ageing","type":"article-journal","volume":"6"},"uris":["http://www.mendeley.com/documents/?uuid=5ad4eff8-2cca-45b5-b4df-8bcfc9b699b0"]}],"mendeley":{"formattedCitation":"[1]","plainTextFormattedCitation":"[1]"},"properties":{"noteIndex":0},"schema":"https://github.com/citation-style-language/schema/raw/master/csl-citation.json"}</w:instrText>
      </w:r>
      <w:r w:rsidR="00EE3DA8">
        <w:rPr>
          <w:i/>
          <w:color w:val="000000" w:themeColor="text1"/>
        </w:rPr>
        <w:fldChar w:fldCharType="separate"/>
      </w:r>
      <w:r w:rsidR="00EE3DA8" w:rsidRPr="00EE3DA8">
        <w:rPr>
          <w:noProof/>
          <w:color w:val="000000" w:themeColor="text1"/>
        </w:rPr>
        <w:t>[1]</w:t>
      </w:r>
      <w:r w:rsidR="00EE3DA8">
        <w:rPr>
          <w:i/>
          <w:color w:val="000000" w:themeColor="text1"/>
        </w:rPr>
        <w:fldChar w:fldCharType="end"/>
      </w:r>
      <w:bookmarkStart w:id="1" w:name="_GoBack"/>
      <w:bookmarkEnd w:id="1"/>
      <w:r w:rsidR="00F93598" w:rsidRPr="00EE3DA8">
        <w:rPr>
          <w:color w:val="000000" w:themeColor="text1"/>
        </w:rPr>
        <w:t>.</w:t>
      </w:r>
      <w:bookmarkEnd w:id="0"/>
    </w:p>
    <w:p w:rsidR="00C64865" w:rsidRDefault="00C64865" w:rsidP="00C64865"/>
    <w:p w:rsidR="00C64865" w:rsidRDefault="00C64865" w:rsidP="00C64865">
      <w:pPr>
        <w:spacing w:line="360" w:lineRule="auto"/>
        <w:jc w:val="both"/>
      </w:pPr>
    </w:p>
    <w:p w:rsidR="00C64865" w:rsidRPr="00555A58" w:rsidRDefault="00C64865" w:rsidP="00C64865">
      <w:pPr>
        <w:spacing w:line="360" w:lineRule="auto"/>
        <w:jc w:val="both"/>
        <w:rPr>
          <w:b/>
        </w:rPr>
      </w:pPr>
      <w:r w:rsidRPr="00555A58">
        <w:rPr>
          <w:b/>
        </w:rPr>
        <w:t>High-throughput RNA sequencing (RNA-Seq)</w:t>
      </w:r>
    </w:p>
    <w:p w:rsidR="00C64865" w:rsidRDefault="00C64865" w:rsidP="00C64865">
      <w:pPr>
        <w:spacing w:line="360" w:lineRule="auto"/>
        <w:jc w:val="both"/>
      </w:pPr>
      <w:r>
        <w:t xml:space="preserve">Library preparation and sequencing was done using Illumina's Next generation deep sequencing (NGS) platform (Bentley, Balasubramanian </w:t>
      </w:r>
      <w:r w:rsidRPr="002345C3">
        <w:t>et al.</w:t>
      </w:r>
      <w:r>
        <w:t xml:space="preserve"> 2008). One µg of total RNA was used for library preparation using Illumina's </w:t>
      </w:r>
      <w:proofErr w:type="spellStart"/>
      <w:r>
        <w:t>TruSeq</w:t>
      </w:r>
      <w:proofErr w:type="spellEnd"/>
      <w:r>
        <w:t xml:space="preserve"> RNA sample prep kit v2, according to the manufacturer's instruction. Libraries were quality checked and quantified using an Agilent Bioanalyzer 2100 and Agilent DNA 7500 Kit (Agilent Technologies, Santa Clara, CA, USA). Libraries were sequenced using an Illumina HiSeq2500 in high-output 51 bp single-read mode </w:t>
      </w:r>
      <w:r>
        <w:lastRenderedPageBreak/>
        <w:t xml:space="preserve">in pools of four per lane. Sequencing chemistry v3 was used. Read data were extracted in FASTQ format using the Illumina supported tool bcl2fastq (v1.8.4). Sequencing resulted in approximately 48 million reads per sample (for details, see </w:t>
      </w:r>
      <w:proofErr w:type="spellStart"/>
      <w:r w:rsidRPr="00AE2EE1">
        <w:rPr>
          <w:b/>
        </w:rPr>
        <w:t>STable</w:t>
      </w:r>
      <w:proofErr w:type="spellEnd"/>
      <w:r w:rsidRPr="00AE2EE1">
        <w:rPr>
          <w:b/>
        </w:rPr>
        <w:t> 1</w:t>
      </w:r>
      <w:r>
        <w:t>).</w:t>
      </w:r>
    </w:p>
    <w:p w:rsidR="00F93598" w:rsidRDefault="00F93598" w:rsidP="00F93598">
      <w:pPr>
        <w:spacing w:line="360" w:lineRule="auto"/>
        <w:jc w:val="both"/>
        <w:rPr>
          <w:b/>
        </w:rPr>
      </w:pPr>
    </w:p>
    <w:p w:rsidR="00F93598" w:rsidRPr="00DC155A" w:rsidRDefault="00F93598" w:rsidP="00F93598">
      <w:pPr>
        <w:spacing w:line="360" w:lineRule="auto"/>
        <w:jc w:val="both"/>
        <w:rPr>
          <w:b/>
        </w:rPr>
      </w:pPr>
      <w:r w:rsidRPr="00DC155A">
        <w:rPr>
          <w:b/>
        </w:rPr>
        <w:t>RNA-Seq library processing and mapping</w:t>
      </w:r>
    </w:p>
    <w:p w:rsidR="00F93598" w:rsidRDefault="00F93598" w:rsidP="00F93598">
      <w:pPr>
        <w:spacing w:line="360" w:lineRule="auto"/>
        <w:jc w:val="both"/>
      </w:pPr>
      <w:r>
        <w:t>Read quality was monitored using FastQC (v0.11.3; </w:t>
      </w:r>
      <w:r w:rsidRPr="00DC155A">
        <w:t>http://www.bioinformatics.bbsrc.ac.uk/projects/fastqc/</w:t>
      </w:r>
      <w:r>
        <w:t xml:space="preserve">). Mapping onto the current </w:t>
      </w:r>
      <w:r w:rsidRPr="00DC155A">
        <w:rPr>
          <w:i/>
        </w:rPr>
        <w:t>Mus musculus</w:t>
      </w:r>
      <w:r>
        <w:t xml:space="preserve"> genome (GRCm38.78) was performed with </w:t>
      </w:r>
      <w:proofErr w:type="spellStart"/>
      <w:r>
        <w:t>segemehl</w:t>
      </w:r>
      <w:proofErr w:type="spellEnd"/>
      <w:r>
        <w:t> (v0.2.0) </w:t>
      </w:r>
      <w:r>
        <w:fldChar w:fldCharType="begin" w:fldLock="1"/>
      </w:r>
      <w:r w:rsidR="00EE3DA8">
        <w:instrText>ADDIN CSL_CITATION {"citationItems":[{"id":"ITEM-1","itemData":{"author":[{"dropping-particle":"","family":"Hoffmann","given":"Steve","non-dropping-particle":"","parse-names":false,"suffix":""},{"dropping-particle":"","family":"Otto","given":"Christian","non-dropping-particle":"","parse-names":false,"suffix":""},{"dropping-particle":"","family":"Kurtz","given":"Stefan","non-dropping-particle":"","parse-names":false,"suffix":""},{"dropping-particle":"","family":"Sharma","given":"Cynthia M","non-dropping-particle":"","parse-names":false,"suffix":""},{"dropping-particle":"","family":"Khaitovich","given":"Philipp","non-dropping-particle":"","parse-names":false,"suffix":""},{"dropping-particle":"","family":"Vogel","given":"Jörg","non-dropping-particle":"","parse-names":false,"suffix":""},{"dropping-particle":"","family":"Stadler","given":"Peter F","non-dropping-particle":"","parse-names":false,"suffix":""},{"dropping-particle":"","family":"Hackermüller","given":"Jörg","non-dropping-particle":"","parse-names":false,"suffix":""}],"container-title":"PLoS Comput Biol","id":"ITEM-1","issue":"9","issued":{"date-parts":[["2009"]]},"page":"e1000502","title":"Fast mapping of short sequences with mismatches, insertions and deletions using index structures","type":"article-journal","volume":"5"},"uris":["http://www.mendeley.com/documents/?uuid=eed53b65-9bbe-4499-a071-b13c80c8a5c9"]}],"mendeley":{"formattedCitation":"[2]","plainTextFormattedCitation":"[2]","previouslyFormattedCitation":"[13]"},"properties":{"noteIndex":0},"schema":"https://github.com/citation-style-language/schema/raw/master/csl-citation.json"}</w:instrText>
      </w:r>
      <w:r>
        <w:fldChar w:fldCharType="separate"/>
      </w:r>
      <w:r w:rsidR="00EE3DA8" w:rsidRPr="00EE3DA8">
        <w:rPr>
          <w:noProof/>
        </w:rPr>
        <w:t>[2]</w:t>
      </w:r>
      <w:r>
        <w:fldChar w:fldCharType="end"/>
      </w:r>
      <w:r>
        <w:t xml:space="preserve"> using the -H 1 option, allowing single reads to be mapped to multiple best fitting locations. Reads were counted using </w:t>
      </w:r>
      <w:proofErr w:type="spellStart"/>
      <w:r>
        <w:t>rnacounter</w:t>
      </w:r>
      <w:proofErr w:type="spellEnd"/>
      <w:r>
        <w:t> (v1.5.2; https://github.com/delafont/rnacounter/) and normalized by transcripts per million (TPM).</w:t>
      </w:r>
    </w:p>
    <w:p w:rsidR="00F93598" w:rsidRDefault="00F93598" w:rsidP="00F93598">
      <w:pPr>
        <w:spacing w:line="360" w:lineRule="auto"/>
        <w:jc w:val="both"/>
      </w:pPr>
      <m:oMathPara>
        <m:oMath>
          <m:r>
            <w:rPr>
              <w:rFonts w:ascii="Cambria Math" w:hAnsi="Cambria Math"/>
            </w:rPr>
            <m:t>TPM</m:t>
          </m:r>
          <m:sSub>
            <m:sSubPr>
              <m:ctrlPr>
                <w:rPr>
                  <w:rFonts w:ascii="Cambria Math" w:hAnsi="Cambria Math"/>
                  <w:i/>
                </w:rPr>
              </m:ctrlPr>
            </m:sSubPr>
            <m:e>
              <m:r>
                <m:rPr>
                  <m:sty m:val="p"/>
                </m:rPr>
                <w:rPr>
                  <w:rFonts w:ascii="Cambria Math" w:hAnsi="Cambria Math"/>
                </w:rPr>
                <w:softHyphen/>
              </m:r>
            </m:e>
            <m:sub>
              <m:r>
                <w:rPr>
                  <w:rFonts w:ascii="Cambria Math" w:hAnsi="Cambria Math"/>
                </w:rPr>
                <m:t>i</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m:t>
                  </m:r>
                </m:sub>
              </m:sSub>
            </m:num>
            <m:den>
              <m:sSub>
                <m:sSubPr>
                  <m:ctrlPr>
                    <w:rPr>
                      <w:rFonts w:ascii="Cambria Math" w:hAnsi="Cambria Math"/>
                      <w:i/>
                    </w:rPr>
                  </m:ctrlPr>
                </m:sSubPr>
                <m:e>
                  <m:r>
                    <w:rPr>
                      <w:rFonts w:ascii="Cambria Math" w:hAnsi="Cambria Math"/>
                    </w:rPr>
                    <m:t>l</m:t>
                  </m:r>
                </m:e>
                <m:sub>
                  <m:r>
                    <w:rPr>
                      <w:rFonts w:ascii="Cambria Math" w:hAnsi="Cambria Math"/>
                    </w:rPr>
                    <m:t>i</m:t>
                  </m:r>
                </m:sub>
              </m:sSub>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m:t>
                  </m:r>
                </m:num>
                <m:den>
                  <m:nary>
                    <m:naryPr>
                      <m:chr m:val="∑"/>
                      <m:limLoc m:val="undOvr"/>
                      <m:supHide m:val="1"/>
                      <m:ctrlPr>
                        <w:rPr>
                          <w:rFonts w:ascii="Cambria Math" w:hAnsi="Cambria Math"/>
                          <w:i/>
                        </w:rPr>
                      </m:ctrlPr>
                    </m:naryPr>
                    <m:sub>
                      <m:r>
                        <w:rPr>
                          <w:rFonts w:ascii="Cambria Math" w:hAnsi="Cambria Math"/>
                        </w:rPr>
                        <m:t>j∈N</m:t>
                      </m:r>
                    </m:sub>
                    <m:sup/>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j</m:t>
                              </m:r>
                            </m:sub>
                          </m:sSub>
                        </m:num>
                        <m:den>
                          <m:sSub>
                            <m:sSubPr>
                              <m:ctrlPr>
                                <w:rPr>
                                  <w:rFonts w:ascii="Cambria Math" w:hAnsi="Cambria Math"/>
                                  <w:i/>
                                </w:rPr>
                              </m:ctrlPr>
                            </m:sSubPr>
                            <m:e>
                              <m:r>
                                <w:rPr>
                                  <w:rFonts w:ascii="Cambria Math" w:hAnsi="Cambria Math"/>
                                </w:rPr>
                                <m:t>l</m:t>
                              </m:r>
                            </m:e>
                            <m:sub>
                              <m:r>
                                <w:rPr>
                                  <w:rFonts w:ascii="Cambria Math" w:hAnsi="Cambria Math"/>
                                </w:rPr>
                                <m:t>j</m:t>
                              </m:r>
                            </m:sub>
                          </m:sSub>
                        </m:den>
                      </m:f>
                    </m:e>
                  </m:nary>
                </m:den>
              </m:f>
            </m:e>
          </m:d>
          <m:r>
            <w:rPr>
              <w:rFonts w:ascii="Cambria Math" w:hAnsi="Cambria Math"/>
            </w:rPr>
            <m:t xml:space="preserve"> ∙ </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oMath>
      </m:oMathPara>
    </w:p>
    <w:p w:rsidR="00F93598" w:rsidRDefault="00F93598" w:rsidP="00F93598">
      <w:pPr>
        <w:spacing w:line="360" w:lineRule="auto"/>
        <w:jc w:val="both"/>
      </w:pPr>
      <w:r>
        <w:t xml:space="preserve">where </w:t>
      </w:r>
      <w:r w:rsidRPr="00427709">
        <w:rPr>
          <w:i/>
        </w:rPr>
        <w:t>c</w:t>
      </w:r>
      <w:r w:rsidRPr="00427709">
        <w:rPr>
          <w:i/>
        </w:rPr>
        <w:softHyphen/>
      </w:r>
      <w:r w:rsidRPr="00427709">
        <w:rPr>
          <w:i/>
        </w:rPr>
        <w:softHyphen/>
      </w:r>
      <w:r w:rsidRPr="00427709">
        <w:rPr>
          <w:i/>
          <w:vertAlign w:val="subscript"/>
        </w:rPr>
        <w:t>i</w:t>
      </w:r>
      <w:r>
        <w:t xml:space="preserve"> is the raw read count of gene </w:t>
      </w:r>
      <w:proofErr w:type="spellStart"/>
      <w:r w:rsidRPr="00427709">
        <w:rPr>
          <w:i/>
        </w:rPr>
        <w:t>i</w:t>
      </w:r>
      <w:proofErr w:type="spellEnd"/>
      <w:r>
        <w:t xml:space="preserve">, </w:t>
      </w:r>
      <w:r w:rsidRPr="00427709">
        <w:rPr>
          <w:i/>
        </w:rPr>
        <w:t>l</w:t>
      </w:r>
      <w:r w:rsidRPr="00427709">
        <w:rPr>
          <w:i/>
          <w:vertAlign w:val="subscript"/>
        </w:rPr>
        <w:t>i</w:t>
      </w:r>
      <w:r>
        <w:t xml:space="preserve"> is the cumulative exon length of gene </w:t>
      </w:r>
      <w:proofErr w:type="spellStart"/>
      <w:r w:rsidRPr="00427709">
        <w:rPr>
          <w:i/>
        </w:rPr>
        <w:t>i</w:t>
      </w:r>
      <w:proofErr w:type="spellEnd"/>
      <w:r>
        <w:t xml:space="preserve"> and </w:t>
      </w:r>
      <w:r w:rsidRPr="00427709">
        <w:rPr>
          <w:i/>
        </w:rPr>
        <w:t>N</w:t>
      </w:r>
      <w:r>
        <w:t xml:space="preserve"> is the number of all genes in the given annotation. Low expressed genes were defined by showing a TPM ≤ 0.5 in every sample and were discarded in subsequent expression analysis.</w:t>
      </w:r>
    </w:p>
    <w:p w:rsidR="00F93598" w:rsidRDefault="00F93598" w:rsidP="00F93598">
      <w:pPr>
        <w:spacing w:line="360" w:lineRule="auto"/>
        <w:jc w:val="both"/>
      </w:pPr>
    </w:p>
    <w:p w:rsidR="00F93598" w:rsidRDefault="00F93598" w:rsidP="00F93598">
      <w:pPr>
        <w:spacing w:line="360" w:lineRule="auto"/>
        <w:jc w:val="both"/>
      </w:pPr>
    </w:p>
    <w:p w:rsidR="00F93598" w:rsidRDefault="00F93598" w:rsidP="00F93598">
      <w:pPr>
        <w:spacing w:line="360" w:lineRule="auto"/>
        <w:jc w:val="both"/>
      </w:pPr>
    </w:p>
    <w:p w:rsidR="00F93598" w:rsidRPr="00575D23" w:rsidRDefault="00F93598" w:rsidP="00F93598">
      <w:pPr>
        <w:spacing w:line="360" w:lineRule="auto"/>
        <w:jc w:val="both"/>
        <w:rPr>
          <w:b/>
        </w:rPr>
      </w:pPr>
      <w:r w:rsidRPr="00575D23">
        <w:rPr>
          <w:b/>
        </w:rPr>
        <w:t>Identification of differentially expressed genes</w:t>
      </w:r>
    </w:p>
    <w:p w:rsidR="00F93598" w:rsidRDefault="00F93598" w:rsidP="00F93598">
      <w:pPr>
        <w:spacing w:line="360" w:lineRule="auto"/>
        <w:jc w:val="both"/>
      </w:pPr>
      <w:r>
        <w:t>The Bioconductor packages DESeq2 (v1.10.0) </w:t>
      </w:r>
      <w:r>
        <w:fldChar w:fldCharType="begin" w:fldLock="1"/>
      </w:r>
      <w:r w:rsidR="00EE3DA8">
        <w:instrText>ADDIN CSL_CITATION {"citationItems":[{"id":"ITEM-1","itemData":{"author":[{"dropping-particle":"","family":"Love","given":"Michael I","non-dropping-particle":"","parse-names":false,"suffix":""},{"dropping-particle":"","family":"Huber","given":"Wolfgang","non-dropping-particle":"","parse-names":false,"suffix":""},{"dropping-particle":"","family":"Anders","given":"Simon","non-dropping-particle":"","parse-names":false,"suffix":""}],"container-title":"Genome Biology","id":"ITEM-1","issue":"12","issued":{"date-parts":[["2014"]]},"page":"550","title":"Moderated estimation of fold change and dispersion for RNA-seq data with DESeq2","type":"article-journal","volume":"15"},"uris":["http://www.mendeley.com/documents/?uuid=31de036b-9ecb-46a3-80b8-12ba3f8f86a2"]}],"mendeley":{"formattedCitation":"[3]","plainTextFormattedCitation":"[3]","previouslyFormattedCitation":"[14]"},"properties":{"noteIndex":0},"schema":"https://github.com/citation-style-language/schema/raw/master/csl-citation.json"}</w:instrText>
      </w:r>
      <w:r>
        <w:fldChar w:fldCharType="separate"/>
      </w:r>
      <w:r w:rsidR="00EE3DA8" w:rsidRPr="00EE3DA8">
        <w:rPr>
          <w:noProof/>
        </w:rPr>
        <w:t>[3]</w:t>
      </w:r>
      <w:r>
        <w:fldChar w:fldCharType="end"/>
      </w:r>
      <w:r>
        <w:t xml:space="preserve"> and </w:t>
      </w:r>
      <w:proofErr w:type="spellStart"/>
      <w:r>
        <w:t>edgeR</w:t>
      </w:r>
      <w:proofErr w:type="spellEnd"/>
      <w:r>
        <w:t> (v3.1.2) </w:t>
      </w:r>
      <w:r>
        <w:fldChar w:fldCharType="begin" w:fldLock="1"/>
      </w:r>
      <w:r w:rsidR="00EE3DA8">
        <w:instrText>ADDIN CSL_CITATION {"citationItems":[{"id":"ITEM-1","itemData":{"author":[{"dropping-particle":"","family":"Robinson","given":"Mark D","non-dropping-particle":"","parse-names":false,"suffix":""},{"dropping-particle":"","family":"McCarthy","given":"Davis J","non-dropping-particle":"","parse-names":false,"suffix":""},{"dropping-particle":"","family":"Smyth","given":"Gordon K","non-dropping-particle":"","parse-names":false,"suffix":""}],"container-title":"Bioinformatics","id":"ITEM-1","issue":"1","issued":{"date-parts":[["2010"]]},"page":"139-140","publisher":"Oxford Univ Press","title":"edgeR: a Bioconductor package for differential expression analysis of digital gene expression data","type":"article-journal","volume":"26"},"uris":["http://www.mendeley.com/documents/?uuid=e6b3583f-a9f4-41ad-b44d-fe32f26d33c4"]}],"mendeley":{"formattedCitation":"[4]","plainTextFormattedCitation":"[4]","previouslyFormattedCitation":"[15]"},"properties":{"noteIndex":0},"schema":"https://github.com/citation-style-language/schema/raw/master/csl-citation.json"}</w:instrText>
      </w:r>
      <w:r>
        <w:fldChar w:fldCharType="separate"/>
      </w:r>
      <w:r w:rsidR="00EE3DA8" w:rsidRPr="00EE3DA8">
        <w:rPr>
          <w:noProof/>
        </w:rPr>
        <w:t>[4]</w:t>
      </w:r>
      <w:r>
        <w:fldChar w:fldCharType="end"/>
      </w:r>
      <w:r>
        <w:t xml:space="preserve"> were used to identify differentially expressed genes (DEGs) between the analyzed time points, according to </w:t>
      </w:r>
      <w:r w:rsidRPr="00575D23">
        <w:rPr>
          <w:b/>
        </w:rPr>
        <w:t>Figure 9B</w:t>
      </w:r>
      <w:r>
        <w:t xml:space="preserve">. Half of the comparisons can be seen as a linear age-gradient analysis (9 vs. 15 months, 15 vs 24 months and 24 vs 30 months), providing insight into the changes over time in gene expression. The other three comparisons (9 vs. 24 months, 9 vs. 30 months, 15 vs. 30 months) show the more drastic transcriptional changes between adult and old-aged mice. The resulting p-values were adjusted using the </w:t>
      </w:r>
      <w:proofErr w:type="spellStart"/>
      <w:r>
        <w:t>Benjamini</w:t>
      </w:r>
      <w:proofErr w:type="spellEnd"/>
      <w:r>
        <w:t xml:space="preserve"> and Hochberg’s FDR approach </w:t>
      </w:r>
      <w:r>
        <w:fldChar w:fldCharType="begin" w:fldLock="1"/>
      </w:r>
      <w:r w:rsidR="00EE3DA8">
        <w:instrText>ADDIN CSL_CITATION {"citationItems":[{"id":"ITEM-1","itemData":{"author":[{"dropping-particle":"","family":"Benjamini","given":"Yoav","non-dropping-particle":"","parse-names":false,"suffix":""},{"dropping-particle":"","family":"Hochberg","given":"Yosef","non-dropping-particle":"","parse-names":false,"suffix":""}],"container-title":"Journal of the Royal Statistical Society. Series B (Methodological)","id":"ITEM-1","issued":{"date-parts":[["1995"]]},"page":"289-300","publisher":"JSTOR","title":"Controlling the false discovery rate: a practical and powerful approach to multiple testing","type":"article-journal"},"uris":["http://www.mendeley.com/documents/?uuid=31a33896-bd08-454e-906a-7f43869a98d3"]}],"mendeley":{"formattedCitation":"[5]","plainTextFormattedCitation":"[5]","previouslyFormattedCitation":"[16]"},"properties":{"noteIndex":0},"schema":"https://github.com/citation-style-language/schema/raw/master/csl-citation.json"}</w:instrText>
      </w:r>
      <w:r>
        <w:fldChar w:fldCharType="separate"/>
      </w:r>
      <w:r w:rsidR="00EE3DA8" w:rsidRPr="00EE3DA8">
        <w:rPr>
          <w:noProof/>
        </w:rPr>
        <w:t>[5]</w:t>
      </w:r>
      <w:r>
        <w:fldChar w:fldCharType="end"/>
      </w:r>
      <w:r>
        <w:t xml:space="preserve">. Genes with an adjusted p-value &lt; 0.05 identified by at least one of the Bioconductor packages in one of the above-mentioned comparisons were assigned as differentially expressed. All DEG results of both used tools and their overlap can be found in detail at </w:t>
      </w:r>
      <w:proofErr w:type="spellStart"/>
      <w:r w:rsidRPr="00575D23">
        <w:rPr>
          <w:b/>
        </w:rPr>
        <w:t>STable</w:t>
      </w:r>
      <w:proofErr w:type="spellEnd"/>
      <w:r w:rsidRPr="00575D23">
        <w:rPr>
          <w:b/>
        </w:rPr>
        <w:t> 2</w:t>
      </w:r>
      <w:r>
        <w:t>.</w:t>
      </w:r>
    </w:p>
    <w:p w:rsidR="00F93598" w:rsidRDefault="00F93598" w:rsidP="00F93598">
      <w:pPr>
        <w:spacing w:line="360" w:lineRule="auto"/>
        <w:jc w:val="both"/>
      </w:pPr>
    </w:p>
    <w:p w:rsidR="00F93598" w:rsidRPr="00575D23" w:rsidRDefault="00F93598" w:rsidP="00F93598">
      <w:pPr>
        <w:spacing w:line="360" w:lineRule="auto"/>
        <w:jc w:val="both"/>
        <w:rPr>
          <w:b/>
        </w:rPr>
      </w:pPr>
      <w:r w:rsidRPr="00575D23">
        <w:rPr>
          <w:b/>
        </w:rPr>
        <w:t>Age profiling of tissue gene expression</w:t>
      </w:r>
    </w:p>
    <w:p w:rsidR="00F93598" w:rsidRDefault="00F93598" w:rsidP="00F93598">
      <w:pPr>
        <w:spacing w:line="360" w:lineRule="auto"/>
        <w:jc w:val="both"/>
      </w:pPr>
      <w:r>
        <w:lastRenderedPageBreak/>
        <w:t>Each expressed gene with TPM &gt; 0.5 was assigned an age profile with respect to its expression behavior over time for each of the four tissues individually.</w:t>
      </w:r>
    </w:p>
    <w:p w:rsidR="00F93598" w:rsidRDefault="00F93598" w:rsidP="00F93598">
      <w:pPr>
        <w:spacing w:line="360" w:lineRule="auto"/>
        <w:jc w:val="both"/>
      </w:pPr>
      <w:r>
        <w:t xml:space="preserve">    The profiles were determined by analyzing the read fold change between the linear age progression comparisons (9 vs. 15, 15 vs. 24 and 24 vs. 30 months). For each of the four comparisons, every gene was categorized either up/down-regulated (increase/decrease of at least 25 % in fold change) or equally expressed. For the brain, the fold change thresholds were set to 10 %, because the total neuron expression activity was reduced compared to other tissues, because they do not divide further after birth and so the neuronal cell population remains </w:t>
      </w:r>
      <w:proofErr w:type="gramStart"/>
      <w:r>
        <w:t>more or less stable</w:t>
      </w:r>
      <w:proofErr w:type="gramEnd"/>
      <w:r>
        <w:t xml:space="preserve">, thus expression is more consistent, and hence, a fold change of 10 % can be assumed to have significant effects. Genes were clustered regarding their gene profiles and clusters were analyzed for pathway and GO term enrichment. For details about the gene expression age profiling see </w:t>
      </w:r>
      <w:proofErr w:type="spellStart"/>
      <w:r w:rsidRPr="0013652E">
        <w:rPr>
          <w:b/>
        </w:rPr>
        <w:t>STable</w:t>
      </w:r>
      <w:proofErr w:type="spellEnd"/>
      <w:r w:rsidRPr="0013652E">
        <w:rPr>
          <w:b/>
        </w:rPr>
        <w:t> 3</w:t>
      </w:r>
      <w:r>
        <w:t xml:space="preserve"> and </w:t>
      </w:r>
      <w:proofErr w:type="spellStart"/>
      <w:r>
        <w:t>SData</w:t>
      </w:r>
      <w:proofErr w:type="spellEnd"/>
      <w:r>
        <w:t> 1.</w:t>
      </w:r>
    </w:p>
    <w:p w:rsidR="00F93598" w:rsidRDefault="00F93598" w:rsidP="00F93598">
      <w:pPr>
        <w:spacing w:line="360" w:lineRule="auto"/>
        <w:jc w:val="both"/>
      </w:pPr>
    </w:p>
    <w:p w:rsidR="00F93598" w:rsidRPr="0013652E" w:rsidRDefault="00F93598" w:rsidP="00F93598">
      <w:pPr>
        <w:spacing w:line="360" w:lineRule="auto"/>
        <w:jc w:val="both"/>
        <w:rPr>
          <w:b/>
        </w:rPr>
      </w:pPr>
      <w:r w:rsidRPr="0013652E">
        <w:rPr>
          <w:b/>
        </w:rPr>
        <w:t>Pathway category enrichment</w:t>
      </w:r>
    </w:p>
    <w:p w:rsidR="00F93598" w:rsidRDefault="00F93598" w:rsidP="00F93598">
      <w:pPr>
        <w:spacing w:line="360" w:lineRule="auto"/>
        <w:jc w:val="both"/>
      </w:pPr>
      <w:r>
        <w:t>Differentially expressed genes from each time comparison (Figure 2) were associated with the KEGG </w:t>
      </w:r>
      <w:r>
        <w:fldChar w:fldCharType="begin" w:fldLock="1"/>
      </w:r>
      <w:r w:rsidR="00EE3DA8">
        <w:instrText>ADDIN CSL_CITATION {"citationItems":[{"id":"ITEM-1","itemData":{"author":[{"dropping-particle":"","family":"Kanehisa","given":"Minoru","non-dropping-particle":"","parse-names":false,"suffix":""},{"dropping-particle":"","family":"Goto","given":"Susumu","non-dropping-particle":"","parse-names":false,"suffix":""}],"container-title":"Nucleic acids research","id":"ITEM-1","issue":"1","issued":{"date-parts":[["2000"]]},"page":"27-30","publisher":"Oxford Univ Press","title":"KEGG: kyoto encyclopedia of genes and genomes","type":"article-journal","volume":"28"},"uris":["http://www.mendeley.com/documents/?uuid=e16a1663-fea7-4f7c-b442-1adef817c557"]}],"mendeley":{"formattedCitation":"[6]","plainTextFormattedCitation":"[6]","previouslyFormattedCitation":"[17]"},"properties":{"noteIndex":0},"schema":"https://github.com/citation-style-language/schema/raw/master/csl-citation.json"}</w:instrText>
      </w:r>
      <w:r>
        <w:fldChar w:fldCharType="separate"/>
      </w:r>
      <w:r w:rsidR="00EE3DA8" w:rsidRPr="00EE3DA8">
        <w:rPr>
          <w:noProof/>
        </w:rPr>
        <w:t>[6]</w:t>
      </w:r>
      <w:r>
        <w:fldChar w:fldCharType="end"/>
      </w:r>
      <w:r>
        <w:t xml:space="preserve"> pathways they are involved in, using the functional annotation analyses of DAVID (version 6.8) </w:t>
      </w:r>
      <w:r>
        <w:fldChar w:fldCharType="begin" w:fldLock="1"/>
      </w:r>
      <w:r w:rsidR="00EE3DA8">
        <w:instrText>ADDIN CSL_CITATION {"citationItems":[{"id":"ITEM-1","itemData":{"author":[{"dropping-particle":"","family":"Huang","given":"Da Wei","non-dropping-particle":"","parse-names":false,"suffix":""},{"dropping-particle":"","family":"Sherman","given":"Brad T","non-dropping-particle":"","parse-names":false,"suffix":""},{"dropping-particle":"","family":"Tan","given":"Qina","non-dropping-particle":"","parse-names":false,"suffix":""},{"dropping-particle":"","family":"Collins","given":"Jack R","non-dropping-particle":"","parse-names":false,"suffix":""},{"dropping-particle":"","family":"Alvord","given":"W Gregory","non-dropping-particle":"","parse-names":false,"suffix":""},{"dropping-particle":"","family":"Roayaei","given":"Jean","non-dropping-particle":"","parse-names":false,"suffix":""},{"dropping-particle":"","family":"Stephens","given":"Robert","non-dropping-particle":"","parse-names":false,"suffix":""},{"dropping-particle":"","family":"Baseler","given":"Michael W","non-dropping-particle":"","parse-names":false,"suffix":""},{"dropping-particle":"","family":"Lane","given":"H Clifford","non-dropping-particle":"","parse-names":false,"suffix":""},{"dropping-particle":"","family":"Lempicki","given":"Richard A","non-dropping-particle":"","parse-names":false,"suffix":""}],"container-title":"Genome biology","id":"ITEM-1","issue":"9","issued":{"date-parts":[["2007"]]},"page":"R183","publisher":"BioMed Central","title":"The DAVID Gene Functional Classification Tool: a novel biological module-centric algorithm to functionally analyze large gene lists","type":"article-journal","volume":"8"},"uris":["http://www.mendeley.com/documents/?uuid=f16269cb-8d79-455a-83da-5ae605b1d3a6"]}],"mendeley":{"formattedCitation":"[7]","plainTextFormattedCitation":"[7]","previouslyFormattedCitation":"[18]"},"properties":{"noteIndex":0},"schema":"https://github.com/citation-style-language/schema/raw/master/csl-citation.json"}</w:instrText>
      </w:r>
      <w:r>
        <w:fldChar w:fldCharType="separate"/>
      </w:r>
      <w:r w:rsidR="00EE3DA8" w:rsidRPr="00EE3DA8">
        <w:rPr>
          <w:noProof/>
        </w:rPr>
        <w:t>[7]</w:t>
      </w:r>
      <w:r>
        <w:fldChar w:fldCharType="end"/>
      </w:r>
      <w:r>
        <w:t xml:space="preserve"> for each tissue, using </w:t>
      </w:r>
      <w:r w:rsidRPr="0013652E">
        <w:rPr>
          <w:i/>
        </w:rPr>
        <w:t>Mus musculus</w:t>
      </w:r>
      <w:r>
        <w:rPr>
          <w:i/>
        </w:rPr>
        <w:t xml:space="preserve"> </w:t>
      </w:r>
      <w:r>
        <w:t xml:space="preserve">as a reference and with KEGG pathways being the only option checked-in. All pathways were grouped </w:t>
      </w:r>
      <w:proofErr w:type="gramStart"/>
      <w:r>
        <w:t>on the basis of</w:t>
      </w:r>
      <w:proofErr w:type="gramEnd"/>
      <w:r>
        <w:t xml:space="preserve"> their physiological role and functionality into different categories. Categories that contained at least 5 % of the DEGs of the respective comparison were: metabolism, inflammation/immune response, synapse-related pathways, muscle-related pathways, extra cellular matrix/adhesion/cytoskeleton, signaling pathways and cancer. All remaining categories were grouped into </w:t>
      </w:r>
      <w:r w:rsidRPr="0013652E">
        <w:rPr>
          <w:i/>
        </w:rPr>
        <w:t>others</w:t>
      </w:r>
      <w:r>
        <w:t xml:space="preserve"> (Figure X). This analysis was done with the DEG results from DESeq2, the union with the results of </w:t>
      </w:r>
      <w:proofErr w:type="spellStart"/>
      <w:r>
        <w:t>edgeR</w:t>
      </w:r>
      <w:proofErr w:type="spellEnd"/>
      <w:r>
        <w:t xml:space="preserve"> and the intersection of both tools. The enrichment was performed based on up- and down-regulated genes separately, as well as the whole set of DEGs (see, </w:t>
      </w:r>
      <w:proofErr w:type="spellStart"/>
      <w:r w:rsidRPr="0013652E">
        <w:rPr>
          <w:b/>
        </w:rPr>
        <w:t>SData</w:t>
      </w:r>
      <w:proofErr w:type="spellEnd"/>
      <w:r>
        <w:rPr>
          <w:b/>
        </w:rPr>
        <w:t> </w:t>
      </w:r>
      <w:r w:rsidRPr="0013652E">
        <w:rPr>
          <w:b/>
        </w:rPr>
        <w:t>3A/B</w:t>
      </w:r>
      <w:r>
        <w:t xml:space="preserve">). </w:t>
      </w:r>
    </w:p>
    <w:p w:rsidR="00F93598" w:rsidRDefault="00F93598" w:rsidP="00F93598">
      <w:pPr>
        <w:spacing w:line="360" w:lineRule="auto"/>
        <w:jc w:val="both"/>
      </w:pPr>
      <w:r>
        <w:t xml:space="preserve">    Additionally, genes that followed a specific expression pattern with aging were separately used for pathway enrichment analysis (see, </w:t>
      </w:r>
      <w:proofErr w:type="spellStart"/>
      <w:r w:rsidRPr="0013652E">
        <w:rPr>
          <w:b/>
        </w:rPr>
        <w:t>STable</w:t>
      </w:r>
      <w:proofErr w:type="spellEnd"/>
      <w:r w:rsidRPr="0013652E">
        <w:rPr>
          <w:b/>
        </w:rPr>
        <w:t> 4</w:t>
      </w:r>
      <w:r>
        <w:t xml:space="preserve"> and </w:t>
      </w:r>
      <w:proofErr w:type="spellStart"/>
      <w:r w:rsidRPr="0013652E">
        <w:rPr>
          <w:b/>
        </w:rPr>
        <w:t>SData</w:t>
      </w:r>
      <w:proofErr w:type="spellEnd"/>
      <w:r w:rsidRPr="0013652E">
        <w:rPr>
          <w:b/>
        </w:rPr>
        <w:t> 4</w:t>
      </w:r>
      <w:r>
        <w:t>). Pathways with an FDR adjusted p-value lower than 0.05 were considered significantly regulated and were again further classified into functional groups for each tissue individually.</w:t>
      </w:r>
    </w:p>
    <w:p w:rsidR="00F93598" w:rsidRDefault="00F93598" w:rsidP="00F93598">
      <w:pPr>
        <w:spacing w:line="360" w:lineRule="auto"/>
        <w:jc w:val="both"/>
      </w:pPr>
    </w:p>
    <w:p w:rsidR="00F93598" w:rsidRDefault="00F93598" w:rsidP="00F93598">
      <w:pPr>
        <w:spacing w:line="360" w:lineRule="auto"/>
        <w:jc w:val="both"/>
        <w:rPr>
          <w:b/>
        </w:rPr>
      </w:pPr>
      <w:bookmarkStart w:id="2" w:name="_Hlk536607921"/>
      <w:r w:rsidRPr="00A123A1">
        <w:rPr>
          <w:b/>
        </w:rPr>
        <w:t>RNA interference treatments</w:t>
      </w:r>
      <w:r>
        <w:rPr>
          <w:b/>
        </w:rPr>
        <w:t xml:space="preserve"> </w:t>
      </w:r>
    </w:p>
    <w:p w:rsidR="00F93598" w:rsidRDefault="00EE3DA8" w:rsidP="00F93598">
      <w:pPr>
        <w:spacing w:line="360" w:lineRule="auto"/>
        <w:jc w:val="both"/>
      </w:pPr>
      <w:r w:rsidRPr="00EE3DA8">
        <w:rPr>
          <w:color w:val="000000" w:themeColor="text1"/>
        </w:rPr>
        <w:t>RNA interference treatments and life span analysis were performed as per mentioned by Heinze et al.</w:t>
      </w:r>
      <w:r>
        <w:rPr>
          <w:color w:val="000000" w:themeColor="text1"/>
        </w:rPr>
        <w:t xml:space="preserve"> </w:t>
      </w:r>
      <w:r>
        <w:rPr>
          <w:color w:val="000000" w:themeColor="text1"/>
        </w:rPr>
        <w:fldChar w:fldCharType="begin" w:fldLock="1"/>
      </w:r>
      <w:r>
        <w:rPr>
          <w:color w:val="000000" w:themeColor="text1"/>
        </w:rPr>
        <w:instrText>ADDIN CSL_CITATION {"citationItems":[{"id":"ITEM-1","itemData":{"DOI":"10.1186/s12915-018-0547-y","ISSN":"1741-7007","abstract":"Mammals display a wide range of variation in their lifespan. Investigating the molecular networks that distinguish long- from short-lived species has proven useful to identify determinants of longevity. Here, we compared the livers of young and old long-lived naked mole-rats (NMRs) and the phylogenetically closely related, shorter-lived, guinea pigs using an integrated omics approach.","author":[{"dropping-particle":"","family":"Heinze","given":"Ivonne","non-dropping-particle":"","parse-names":false,"suffix":""},{"dropping-particle":"","family":"Bens","given":"Martin","non-dropping-particle":"","parse-names":false,"suffix":""},{"dropping-particle":"","family":"Calzia","given":"Enrico","non-dropping-particle":"","parse-names":false,"suffix":""},{"dropping-particle":"","family":"Holtze","given":"Susanne","non-dropping-particle":"","parse-names":false,"suffix":""},{"dropping-particle":"","family":"Dakhovnik","given":"Oleksandr","non-dropping-particle":"","parse-names":false,"suffix":""},{"dropping-particle":"","family":"Sahm","given":"Arne","non-dropping-particle":"","parse-names":false,"suffix":""},{"dropping-particle":"","family":"Kirkpatrick","given":"Joanna M","non-dropping-particle":"","parse-names":false,"suffix":""},{"dropping-particle":"","family":"Szafranski","given":"Karol","non-dropping-particle":"","parse-names":false,"suffix":""},{"dropping-particle":"","family":"Romanov","given":"Natalie","non-dropping-particle":"","parse-names":false,"suffix":""},{"dropping-particle":"","family":"Sama","given":"Sai Nagender","non-dropping-particle":"","parse-names":false,"suffix":""},{"dropping-particle":"","family":"Holzer","given":"Kerstin","non-dropping-particle":"","parse-names":false,"suffix":""},{"dropping-particle":"","family":"Singer","given":"Stephan","non-dropping-particle":"","parse-names":false,"suffix":""},{"dropping-particle":"","family":"Ermolaeva","given":"Maria","non-dropping-particle":"","parse-names":false,"suffix":""},{"dropping-particle":"","family":"Platzer","given":"Matthias","non-dropping-particle":"","parse-names":false,"suffix":""},{"dropping-particle":"","family":"Hildebrandt","given":"Thomas","non-dropping-particle":"","parse-names":false,"suffix":""},{"dropping-particle":"","family":"Ori","given":"Alessandro","non-dropping-particle":"","parse-names":false,"suffix":""}],"container-title":"BMC Biology","id":"ITEM-1","issue":"1","issued":{"date-parts":[["2018","8"]]},"page":"82","title":"Species comparison of liver proteomes reveals links to naked mole-rat longevity and human aging","type":"article-journal","volume":"16"},"uris":["http://www.mendeley.com/documents/?uuid=9c221710-5872-4a63-bd52-04e7a0366e6a"]}],"mendeley":{"formattedCitation":"[8]","plainTextFormattedCitation":"[8]","previouslyFormattedCitation":"[19]"},"properties":{"noteIndex":0},"schema":"https://github.com/citation-style-language/schema/raw/master/csl-citation.json"}</w:instrText>
      </w:r>
      <w:r>
        <w:rPr>
          <w:color w:val="000000" w:themeColor="text1"/>
        </w:rPr>
        <w:fldChar w:fldCharType="separate"/>
      </w:r>
      <w:r w:rsidRPr="00EE3DA8">
        <w:rPr>
          <w:noProof/>
          <w:color w:val="000000" w:themeColor="text1"/>
        </w:rPr>
        <w:t>[8]</w:t>
      </w:r>
      <w:r>
        <w:rPr>
          <w:color w:val="000000" w:themeColor="text1"/>
        </w:rPr>
        <w:fldChar w:fldCharType="end"/>
      </w:r>
      <w:r w:rsidRPr="00EE3DA8">
        <w:rPr>
          <w:color w:val="000000" w:themeColor="text1"/>
        </w:rPr>
        <w:t>.</w:t>
      </w:r>
      <w:r>
        <w:rPr>
          <w:color w:val="000000" w:themeColor="text1"/>
        </w:rPr>
        <w:t xml:space="preserve"> </w:t>
      </w:r>
      <w:r w:rsidR="00F93598" w:rsidRPr="00A123A1">
        <w:t>HT115 bacteria containing specific RNAi constructs were grown on lysogeny broth</w:t>
      </w:r>
      <w:r w:rsidR="00F93598">
        <w:t xml:space="preserve"> </w:t>
      </w:r>
      <w:r w:rsidR="00F93598" w:rsidRPr="00A123A1">
        <w:lastRenderedPageBreak/>
        <w:t>agar plates supplemented with ampicillin and tetracycline. Plates were kept at 4</w:t>
      </w:r>
      <w:r w:rsidR="00F93598">
        <w:t> °</w:t>
      </w:r>
      <w:r w:rsidR="00F93598" w:rsidRPr="00A123A1">
        <w:t>C. Overnight cultures were grown in lysogeny broth media containing ampicillin. RNAi expression was induced by adding 1</w:t>
      </w:r>
      <w:r w:rsidR="00F93598">
        <w:t> </w:t>
      </w:r>
      <w:r w:rsidR="00F93598" w:rsidRPr="00A123A1">
        <w:t xml:space="preserve">mM </w:t>
      </w:r>
      <w:proofErr w:type="spellStart"/>
      <w:r w:rsidR="00F93598" w:rsidRPr="00A123A1">
        <w:t>isopropylthiogalactoside</w:t>
      </w:r>
      <w:proofErr w:type="spellEnd"/>
      <w:r w:rsidR="00F93598" w:rsidRPr="00A123A1">
        <w:t xml:space="preserve"> (IPTG) and incubating the cultures at 37</w:t>
      </w:r>
      <w:r w:rsidR="00F93598">
        <w:t> °</w:t>
      </w:r>
      <w:r w:rsidR="00F93598" w:rsidRPr="00A123A1">
        <w:t>C for 20</w:t>
      </w:r>
      <w:r w:rsidR="00F93598">
        <w:t> </w:t>
      </w:r>
      <w:r w:rsidR="00F93598" w:rsidRPr="00A123A1">
        <w:t>min before seeding bacteria on NGM agar supplemented with ampicillin and 3</w:t>
      </w:r>
      <w:r w:rsidR="00F93598">
        <w:t> </w:t>
      </w:r>
      <w:r w:rsidR="00F93598" w:rsidRPr="00A123A1">
        <w:t>mM IPTG.</w:t>
      </w:r>
    </w:p>
    <w:p w:rsidR="00F93598" w:rsidRDefault="00F93598" w:rsidP="00F93598">
      <w:pPr>
        <w:spacing w:line="360" w:lineRule="auto"/>
        <w:jc w:val="both"/>
      </w:pPr>
    </w:p>
    <w:p w:rsidR="00F93598" w:rsidRPr="00FA60FE" w:rsidRDefault="00F93598" w:rsidP="00F93598">
      <w:pPr>
        <w:spacing w:line="360" w:lineRule="auto"/>
        <w:jc w:val="both"/>
        <w:rPr>
          <w:b/>
        </w:rPr>
      </w:pPr>
      <w:r w:rsidRPr="00FA60FE">
        <w:rPr>
          <w:b/>
        </w:rPr>
        <w:t>Life span analysis</w:t>
      </w:r>
    </w:p>
    <w:p w:rsidR="00F93598" w:rsidRDefault="00F93598" w:rsidP="00F93598">
      <w:pPr>
        <w:spacing w:line="360" w:lineRule="auto"/>
        <w:jc w:val="both"/>
      </w:pPr>
      <w:r w:rsidRPr="00FA60FE">
        <w:t>The experiments were carried out at 20</w:t>
      </w:r>
      <w:r>
        <w:t> °</w:t>
      </w:r>
      <w:r w:rsidRPr="00FA60FE">
        <w:t>C under standard conditions. Synchronized L4 larvae were placed on 60</w:t>
      </w:r>
      <w:r>
        <w:t> </w:t>
      </w:r>
      <w:r w:rsidRPr="00FA60FE">
        <w:t xml:space="preserve">mm dishes containing NGM agar and RNAi bacteria at a density of 70 worms per plate. Worms were transferred to new plates </w:t>
      </w:r>
      <w:proofErr w:type="gramStart"/>
      <w:r w:rsidRPr="00FA60FE">
        <w:t>on a daily basis</w:t>
      </w:r>
      <w:proofErr w:type="gramEnd"/>
      <w:r w:rsidRPr="00FA60FE">
        <w:t xml:space="preserve"> until adulthood at day 6 (AD6) and later transferred to new plates every 3</w:t>
      </w:r>
      <w:r>
        <w:t> – </w:t>
      </w:r>
      <w:r w:rsidRPr="00FA60FE">
        <w:t>4</w:t>
      </w:r>
      <w:r>
        <w:t> </w:t>
      </w:r>
      <w:r w:rsidRPr="00FA60FE">
        <w:t xml:space="preserve">days. The number of dead animals was scored daily. The whole experiment was repeated three times. The analysis of the lifespan data, including statistical analysis, was performed using GraphPad Prism software. For more details, see </w:t>
      </w:r>
      <w:proofErr w:type="spellStart"/>
      <w:r w:rsidRPr="00FA60FE">
        <w:rPr>
          <w:b/>
        </w:rPr>
        <w:t>SData</w:t>
      </w:r>
      <w:proofErr w:type="spellEnd"/>
      <w:r w:rsidRPr="00FA60FE">
        <w:rPr>
          <w:b/>
        </w:rPr>
        <w:t> 6</w:t>
      </w:r>
      <w:r w:rsidRPr="00FA60FE">
        <w:t>.</w:t>
      </w:r>
    </w:p>
    <w:p w:rsidR="00EE3DA8" w:rsidRDefault="00EE3DA8" w:rsidP="00F93598">
      <w:pPr>
        <w:spacing w:line="360" w:lineRule="auto"/>
        <w:jc w:val="both"/>
      </w:pPr>
    </w:p>
    <w:p w:rsidR="00EE3DA8" w:rsidRPr="00EE3DA8" w:rsidRDefault="00EE3DA8" w:rsidP="00EE3DA8">
      <w:pPr>
        <w:widowControl w:val="0"/>
        <w:autoSpaceDE w:val="0"/>
        <w:autoSpaceDN w:val="0"/>
        <w:adjustRightInd w:val="0"/>
        <w:spacing w:line="360" w:lineRule="auto"/>
        <w:ind w:left="640" w:hanging="640"/>
        <w:rPr>
          <w:noProof/>
        </w:rPr>
      </w:pPr>
      <w:r>
        <w:fldChar w:fldCharType="begin" w:fldLock="1"/>
      </w:r>
      <w:r>
        <w:instrText xml:space="preserve">ADDIN Mendeley Bibliography CSL_BIBLIOGRAPHY </w:instrText>
      </w:r>
      <w:r>
        <w:fldChar w:fldCharType="separate"/>
      </w:r>
      <w:r w:rsidRPr="00EE3DA8">
        <w:rPr>
          <w:noProof/>
        </w:rPr>
        <w:t>[1]</w:t>
      </w:r>
      <w:r w:rsidRPr="00EE3DA8">
        <w:rPr>
          <w:noProof/>
        </w:rPr>
        <w:tab/>
        <w:t xml:space="preserve">Mansfeld, Johannes and Urban, Nadine and Priebe, Steffen and Groth, Marco and Frahm, Christiane and Hartmann, Nils and Gebauer, Juliane and Ravichandran, Meenakshi and Dommaschk, Anne and Schmeisser, Sebastian  et al. Branched-chain amino acid catabolism is a conserved regulator of physiological ageing. Nat Commun. 2015;6:10043.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[2]</w:t>
      </w:r>
      <w:r w:rsidRPr="00EE3DA8">
        <w:rPr>
          <w:noProof/>
        </w:rPr>
        <w:tab/>
        <w:t xml:space="preserve">Hoffmann S, Otto C, Kurtz S, Sharma CM, Khaitovich P, Vogel J, et al. Fast mapping of short sequences with mismatches, insertions and deletions using index structures. PLoS Comput Biol. 2009;5(9):e1000502.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[3]</w:t>
      </w:r>
      <w:r w:rsidRPr="00EE3DA8">
        <w:rPr>
          <w:noProof/>
        </w:rPr>
        <w:tab/>
        <w:t xml:space="preserve">Love MI, Huber W, Anders S. Moderated estimation of fold change and dispersion for RNA-seq data with DESeq2. Genome Biol. 2014;15(12):550.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[4]</w:t>
      </w:r>
      <w:r w:rsidRPr="00EE3DA8">
        <w:rPr>
          <w:noProof/>
        </w:rPr>
        <w:tab/>
        <w:t xml:space="preserve">Robinson MD, McCarthy DJ, Smyth GK. edgeR: a Bioconductor package for differential expression analysis of digital gene expression data. Bioinformatics. 2010;26(1):139–40.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[5]</w:t>
      </w:r>
      <w:r w:rsidRPr="00EE3DA8">
        <w:rPr>
          <w:noProof/>
        </w:rPr>
        <w:tab/>
        <w:t xml:space="preserve">Benjamini Y, Hochberg Y. Controlling the false discovery rate: a practical and powerful approach to multiple testing. J R Stat Soc Ser B. 1995;289–300.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[6]</w:t>
      </w:r>
      <w:r w:rsidRPr="00EE3DA8">
        <w:rPr>
          <w:noProof/>
        </w:rPr>
        <w:tab/>
        <w:t xml:space="preserve">Kanehisa M, Goto S. KEGG: kyoto encyclopedia of genes and genomes. Nucleic Acids Res. 2000;28(1):27–30.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[7]</w:t>
      </w:r>
      <w:r w:rsidRPr="00EE3DA8">
        <w:rPr>
          <w:noProof/>
        </w:rPr>
        <w:tab/>
        <w:t xml:space="preserve">Huang DW, Sherman BT, Tan Q, Collins JR, Alvord WG, Roayaei J, et al. The DAVID Gene Functional Classification Tool: a novel biological module-centric </w:t>
      </w:r>
      <w:r w:rsidRPr="00EE3DA8">
        <w:rPr>
          <w:noProof/>
        </w:rPr>
        <w:lastRenderedPageBreak/>
        <w:t xml:space="preserve">algorithm to functionally analyze large gene lists. Genome Biol. 2007;8(9):R183. </w:t>
      </w:r>
    </w:p>
    <w:p w:rsidR="00EE3DA8" w:rsidRPr="00EE3DA8" w:rsidRDefault="00EE3DA8" w:rsidP="00EE3DA8">
      <w:pPr>
        <w:widowControl w:val="0"/>
        <w:autoSpaceDE w:val="0"/>
        <w:autoSpaceDN w:val="0"/>
        <w:adjustRightInd w:val="0"/>
        <w:spacing w:line="360" w:lineRule="auto"/>
        <w:ind w:left="640" w:hanging="640"/>
        <w:rPr>
          <w:noProof/>
        </w:rPr>
      </w:pPr>
      <w:r w:rsidRPr="00EE3DA8">
        <w:rPr>
          <w:noProof/>
        </w:rPr>
        <w:t>[8]</w:t>
      </w:r>
      <w:r w:rsidRPr="00EE3DA8">
        <w:rPr>
          <w:noProof/>
        </w:rPr>
        <w:tab/>
        <w:t>Heinze I, Bens M, Calzia E, Holtze S, Dakhovnik O, Sahm A, et al. Species comparison of liver proteomes reveals links to naked mole-rat longevity and human aging. BMC Biol [Internet]. 2018 Aug;16(1):82. Available from: https://doi.org/10.1186/s12915-018-0547-y</w:t>
      </w:r>
    </w:p>
    <w:p w:rsidR="00EE3DA8" w:rsidRDefault="00EE3DA8" w:rsidP="00F93598">
      <w:pPr>
        <w:spacing w:line="360" w:lineRule="auto"/>
        <w:jc w:val="both"/>
      </w:pPr>
      <w:r>
        <w:fldChar w:fldCharType="end"/>
      </w:r>
      <w:bookmarkEnd w:id="2"/>
    </w:p>
    <w:sectPr w:rsidR="00EE3D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65"/>
    <w:rsid w:val="00225C22"/>
    <w:rsid w:val="003B07BC"/>
    <w:rsid w:val="00C64865"/>
    <w:rsid w:val="00EE3DA8"/>
    <w:rsid w:val="00F9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C32D"/>
  <w15:chartTrackingRefBased/>
  <w15:docId w15:val="{4CE29451-28BA-4992-B898-25B826D0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4865"/>
    <w:pPr>
      <w:spacing w:after="0" w:line="240" w:lineRule="auto"/>
    </w:pPr>
    <w:rPr>
      <w:rFonts w:ascii="Times New Roman" w:eastAsia="SimSu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A92D-2153-4721-94CA-12A1C1A8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3197</Words>
  <Characters>18224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Barth</dc:creator>
  <cp:keywords/>
  <dc:description/>
  <cp:lastModifiedBy>Emanuel Barth</cp:lastModifiedBy>
  <cp:revision>1</cp:revision>
  <dcterms:created xsi:type="dcterms:W3CDTF">2019-01-30T09:22:00Z</dcterms:created>
  <dcterms:modified xsi:type="dcterms:W3CDTF">2019-01-30T10:17:00Z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http://csl.mendeley.com/styles/18475381/vancouver</vt:lpwstr>
  </property>
  <property fmtid="{D5CDD505-2E9C-101B-9397-08002B2CF9AE}" pid="21" name="Mendeley Recent Style Name 9_1">
    <vt:lpwstr>Vancouver - Emanuel Barth</vt:lpwstr>
  </property>
  <property fmtid="{D5CDD505-2E9C-101B-9397-08002B2CF9AE}" pid="22" name="Mendeley Document_1">
    <vt:lpwstr>True</vt:lpwstr>
  </property>
  <property fmtid="{D5CDD505-2E9C-101B-9397-08002B2CF9AE}" pid="23" name="Mendeley Unique User Id_1">
    <vt:lpwstr>e054a133-1669-3202-a212-43a0472126c7</vt:lpwstr>
  </property>
  <property fmtid="{D5CDD505-2E9C-101B-9397-08002B2CF9AE}" pid="24" name="Mendeley Citation Style_1">
    <vt:lpwstr>http://csl.mendeley.com/styles/18475381/vancouver</vt:lpwstr>
  </property>
</Properties>
</file>